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80A98" w:rsidR="00657B11" w:rsidP="00657B11" w:rsidRDefault="00657B11" w14:paraId="91d0d83" w14:textId="91d0d83">
      <w:pPr>
        <w:jc w:val="center"/>
        <w15:collapsed w:val="false"/>
        <w:rPr>
          <w:rFonts w:ascii="Arial" w:hAnsi="Arial" w:cs="Arial"/>
          <w:bCs/>
        </w:rPr>
      </w:pPr>
      <w:bookmarkStart w:name="_GoBack" w:id="0"/>
      <w:bookmarkEnd w:id="0"/>
      <w:r w:rsidRPr="00380A98">
        <w:rPr>
          <w:rFonts w:ascii="Arial" w:hAnsi="Arial" w:cs="Arial"/>
          <w:bCs/>
        </w:rPr>
        <w:t>Z A P I S N I K</w:t>
      </w:r>
    </w:p>
    <w:p w:rsidRPr="00380A98" w:rsidR="00657B11" w:rsidP="00657B11" w:rsidRDefault="00EF4F77">
      <w:pPr>
        <w:jc w:val="center"/>
        <w:rPr>
          <w:rFonts w:ascii="Arial" w:hAnsi="Arial" w:cs="Arial"/>
          <w:bCs/>
        </w:rPr>
      </w:pPr>
      <w:r>
        <w:rPr>
          <w:rFonts w:ascii="Arial" w:hAnsi="Arial" w:cs="Arial"/>
          <w:bCs/>
        </w:rPr>
        <w:t>26. listopada</w:t>
      </w:r>
      <w:r w:rsidR="004C4C64">
        <w:rPr>
          <w:rFonts w:ascii="Arial" w:hAnsi="Arial" w:cs="Arial"/>
          <w:bCs/>
        </w:rPr>
        <w:t xml:space="preserve"> 2022</w:t>
      </w:r>
      <w:r w:rsidRPr="00380A98" w:rsidR="00C72B43">
        <w:rPr>
          <w:rFonts w:ascii="Arial" w:hAnsi="Arial" w:cs="Arial"/>
          <w:bCs/>
        </w:rPr>
        <w:t>.</w:t>
      </w:r>
    </w:p>
    <w:p w:rsidRPr="00380A98" w:rsidR="00380A98" w:rsidP="00657B11" w:rsidRDefault="00380A98">
      <w:pPr>
        <w:jc w:val="center"/>
        <w:rPr>
          <w:rFonts w:ascii="Arial" w:hAnsi="Arial" w:cs="Arial"/>
          <w:bCs/>
        </w:rPr>
      </w:pPr>
    </w:p>
    <w:p w:rsidRPr="00380A98" w:rsidR="00657B11" w:rsidP="00657B11" w:rsidRDefault="00657B11">
      <w:pPr>
        <w:jc w:val="both"/>
        <w:rPr>
          <w:rFonts w:ascii="Arial" w:hAnsi="Arial" w:cs="Arial"/>
        </w:rPr>
      </w:pPr>
      <w:r w:rsidRPr="00380A98">
        <w:rPr>
          <w:rFonts w:ascii="Arial" w:hAnsi="Arial" w:cs="Arial"/>
        </w:rPr>
        <w:t xml:space="preserve">            sastavl</w:t>
      </w:r>
      <w:r w:rsidRPr="00380A98" w:rsidR="00315E67">
        <w:rPr>
          <w:rFonts w:ascii="Arial" w:hAnsi="Arial" w:cs="Arial"/>
        </w:rPr>
        <w:t>jen kod Trgovačkog suda u Zadru</w:t>
      </w:r>
      <w:r w:rsidRPr="00380A98" w:rsidR="00DE500C">
        <w:rPr>
          <w:rFonts w:ascii="Arial" w:hAnsi="Arial" w:cs="Arial"/>
        </w:rPr>
        <w:t>,</w:t>
      </w:r>
      <w:r w:rsidRPr="00380A98">
        <w:rPr>
          <w:rFonts w:ascii="Arial" w:hAnsi="Arial" w:cs="Arial"/>
        </w:rPr>
        <w:t xml:space="preserve"> sa </w:t>
      </w:r>
      <w:r w:rsidRPr="00380A98">
        <w:rPr>
          <w:rFonts w:ascii="Arial" w:hAnsi="Arial" w:cs="Arial"/>
          <w:bCs/>
        </w:rPr>
        <w:t>IZVJEŠTAJNOG ROČIŠTA</w:t>
      </w:r>
      <w:r w:rsidRPr="00380A98">
        <w:rPr>
          <w:rFonts w:ascii="Arial" w:hAnsi="Arial" w:cs="Arial"/>
        </w:rPr>
        <w:t xml:space="preserve"> u predmetu provođenja stečajnog postupka nad stečajnim dužnikom </w:t>
      </w:r>
      <w:r w:rsidR="00EF4F77">
        <w:rPr>
          <w:rFonts w:ascii="Arial" w:hAnsi="Arial" w:cs="Arial"/>
        </w:rPr>
        <w:t>RURSUS d.o.o. u stečaju, Zadar, Ulica postrojbi specijalne policije Zadar 12, OIB: 81430800847</w:t>
      </w:r>
      <w:r w:rsidRPr="00380A98" w:rsidR="003730D3">
        <w:rPr>
          <w:rFonts w:ascii="Arial" w:hAnsi="Arial" w:cs="Arial"/>
        </w:rPr>
        <w:t xml:space="preserve">, </w:t>
      </w:r>
    </w:p>
    <w:p w:rsidRPr="00380A98" w:rsidR="003730D3" w:rsidP="00657B11" w:rsidRDefault="003730D3">
      <w:pPr>
        <w:jc w:val="both"/>
        <w:rPr>
          <w:rFonts w:ascii="Arial" w:hAnsi="Arial" w:cs="Arial"/>
        </w:rPr>
      </w:pPr>
    </w:p>
    <w:p w:rsidRPr="00380A98" w:rsidR="00657B11" w:rsidP="00657B11" w:rsidRDefault="00657B11">
      <w:pPr>
        <w:jc w:val="both"/>
        <w:rPr>
          <w:rFonts w:ascii="Arial" w:hAnsi="Arial" w:cs="Arial"/>
        </w:rPr>
      </w:pPr>
      <w:r w:rsidRPr="00380A98">
        <w:rPr>
          <w:rFonts w:ascii="Arial" w:hAnsi="Arial" w:cs="Arial"/>
        </w:rPr>
        <w:t>OD SUDA NAZOČNI:</w:t>
      </w:r>
    </w:p>
    <w:p w:rsidRPr="00380A98" w:rsidR="00657B11" w:rsidP="00657B11" w:rsidRDefault="00657B11">
      <w:pPr>
        <w:jc w:val="both"/>
        <w:rPr>
          <w:rFonts w:ascii="Arial" w:hAnsi="Arial" w:cs="Arial"/>
        </w:rPr>
      </w:pPr>
      <w:r w:rsidRPr="00380A98">
        <w:rPr>
          <w:rFonts w:ascii="Arial" w:hAnsi="Arial" w:cs="Arial"/>
        </w:rPr>
        <w:t xml:space="preserve">Ardena Bajlo, </w:t>
      </w:r>
      <w:r w:rsidRPr="00380A98" w:rsidR="0028068C">
        <w:rPr>
          <w:rFonts w:ascii="Arial" w:hAnsi="Arial" w:cs="Arial"/>
        </w:rPr>
        <w:t>sutkinja</w:t>
      </w:r>
      <w:r w:rsidRPr="00380A98">
        <w:rPr>
          <w:rFonts w:ascii="Arial" w:hAnsi="Arial" w:cs="Arial"/>
        </w:rPr>
        <w:t xml:space="preserve"> </w:t>
      </w:r>
    </w:p>
    <w:p w:rsidRPr="00380A98" w:rsidR="00657B11" w:rsidP="00657B11" w:rsidRDefault="00020692">
      <w:pPr>
        <w:jc w:val="both"/>
        <w:rPr>
          <w:rFonts w:ascii="Arial" w:hAnsi="Arial" w:cs="Arial"/>
        </w:rPr>
      </w:pPr>
      <w:r w:rsidRPr="00380A98">
        <w:rPr>
          <w:rFonts w:ascii="Arial" w:hAnsi="Arial" w:cs="Arial"/>
        </w:rPr>
        <w:t>Ante Rubelj</w:t>
      </w:r>
      <w:r w:rsidRPr="00380A98" w:rsidR="00657B11">
        <w:rPr>
          <w:rFonts w:ascii="Arial" w:hAnsi="Arial" w:cs="Arial"/>
        </w:rPr>
        <w:t>, zapisničar</w:t>
      </w:r>
    </w:p>
    <w:p w:rsidRPr="00380A98" w:rsidR="00657B11" w:rsidP="00657B11" w:rsidRDefault="00657B11">
      <w:pPr>
        <w:jc w:val="both"/>
        <w:rPr>
          <w:rFonts w:ascii="Arial" w:hAnsi="Arial" w:cs="Arial"/>
        </w:rPr>
      </w:pPr>
    </w:p>
    <w:p w:rsidRPr="00380A98" w:rsidR="00657B11" w:rsidP="00657B11" w:rsidRDefault="00657B11">
      <w:pPr>
        <w:jc w:val="center"/>
        <w:rPr>
          <w:rFonts w:ascii="Arial" w:hAnsi="Arial" w:cs="Arial"/>
        </w:rPr>
      </w:pPr>
      <w:r w:rsidRPr="00380A98">
        <w:rPr>
          <w:rFonts w:ascii="Arial" w:hAnsi="Arial" w:cs="Arial"/>
        </w:rPr>
        <w:t xml:space="preserve">Početak u </w:t>
      </w:r>
      <w:r w:rsidR="00EF4F77">
        <w:rPr>
          <w:rFonts w:ascii="Arial" w:hAnsi="Arial" w:cs="Arial"/>
        </w:rPr>
        <w:t>8,30</w:t>
      </w:r>
      <w:r w:rsidRPr="00380A98">
        <w:rPr>
          <w:rFonts w:ascii="Arial" w:hAnsi="Arial" w:cs="Arial"/>
        </w:rPr>
        <w:t xml:space="preserve"> sati.</w:t>
      </w:r>
    </w:p>
    <w:p w:rsidRPr="00380A98" w:rsidR="0031656D" w:rsidP="00657B11" w:rsidRDefault="0031656D">
      <w:pPr>
        <w:tabs>
          <w:tab w:val="left" w:pos="930"/>
        </w:tabs>
        <w:jc w:val="both"/>
        <w:rPr>
          <w:rFonts w:ascii="Arial" w:hAnsi="Arial" w:cs="Arial"/>
        </w:rPr>
      </w:pPr>
    </w:p>
    <w:p w:rsidRPr="00380A98" w:rsidR="001520A9" w:rsidP="001520A9" w:rsidRDefault="000A03F1">
      <w:pPr>
        <w:jc w:val="both"/>
        <w:rPr>
          <w:rFonts w:ascii="Arial" w:hAnsi="Arial" w:cs="Arial"/>
        </w:rPr>
      </w:pPr>
      <w:r w:rsidRPr="00380A98">
        <w:rPr>
          <w:rFonts w:ascii="Arial" w:hAnsi="Arial" w:cs="Arial"/>
        </w:rPr>
        <w:t>Utvrđuje se da je nazoč</w:t>
      </w:r>
      <w:r w:rsidR="002A4182">
        <w:rPr>
          <w:rFonts w:ascii="Arial" w:hAnsi="Arial" w:cs="Arial"/>
        </w:rPr>
        <w:t>a</w:t>
      </w:r>
      <w:r w:rsidR="00045793">
        <w:rPr>
          <w:rFonts w:ascii="Arial" w:hAnsi="Arial" w:cs="Arial"/>
        </w:rPr>
        <w:t>n</w:t>
      </w:r>
      <w:r w:rsidRPr="00380A98" w:rsidR="001520A9">
        <w:rPr>
          <w:rFonts w:ascii="Arial" w:hAnsi="Arial" w:cs="Arial"/>
        </w:rPr>
        <w:t xml:space="preserve"> </w:t>
      </w:r>
      <w:r w:rsidR="00C76F26">
        <w:rPr>
          <w:rFonts w:ascii="Arial" w:hAnsi="Arial" w:cs="Arial"/>
        </w:rPr>
        <w:t>Damir Šebetić</w:t>
      </w:r>
      <w:r w:rsidRPr="00380A98" w:rsidR="001520A9">
        <w:rPr>
          <w:rFonts w:ascii="Arial" w:hAnsi="Arial" w:cs="Arial"/>
        </w:rPr>
        <w:t>, stečajn</w:t>
      </w:r>
      <w:r w:rsidR="00045793">
        <w:rPr>
          <w:rFonts w:ascii="Arial" w:hAnsi="Arial" w:cs="Arial"/>
        </w:rPr>
        <w:t>i</w:t>
      </w:r>
      <w:r w:rsidR="004954B0">
        <w:rPr>
          <w:rFonts w:ascii="Arial" w:hAnsi="Arial" w:cs="Arial"/>
        </w:rPr>
        <w:t xml:space="preserve"> upravitelj.</w:t>
      </w:r>
    </w:p>
    <w:p w:rsidRPr="00380A98" w:rsidR="001520A9" w:rsidP="001520A9" w:rsidRDefault="001520A9">
      <w:pPr>
        <w:jc w:val="both"/>
        <w:rPr>
          <w:rFonts w:ascii="Arial" w:hAnsi="Arial" w:cs="Arial"/>
        </w:rPr>
      </w:pPr>
    </w:p>
    <w:p w:rsidR="00423A0F" w:rsidP="00423A0F" w:rsidRDefault="00423A0F">
      <w:pPr>
        <w:ind w:left="360" w:hanging="360"/>
        <w:jc w:val="both"/>
        <w:rPr>
          <w:rFonts w:ascii="Arial" w:hAnsi="Arial" w:cs="Arial"/>
        </w:rPr>
      </w:pPr>
      <w:r w:rsidRPr="00CE2A3F">
        <w:rPr>
          <w:rFonts w:ascii="Arial" w:hAnsi="Arial" w:cs="Arial"/>
        </w:rPr>
        <w:t xml:space="preserve">Nazočni od vjerovnika: </w:t>
      </w:r>
    </w:p>
    <w:p w:rsidR="00EF4F77" w:rsidP="00EF4F77" w:rsidRDefault="00EF4F77">
      <w:pPr>
        <w:ind w:left="360" w:hanging="360"/>
        <w:jc w:val="both"/>
        <w:rPr>
          <w:rFonts w:ascii="Arial" w:hAnsi="Arial" w:cs="Arial"/>
        </w:rPr>
      </w:pPr>
      <w:r>
        <w:rPr>
          <w:rFonts w:ascii="Arial" w:hAnsi="Arial" w:cs="Arial"/>
        </w:rPr>
        <w:t>za RH Svetlana Barešić, zamjenica u ŽDO-u Zadar</w:t>
      </w:r>
    </w:p>
    <w:p w:rsidR="00C73AB2" w:rsidP="00C73AB2" w:rsidRDefault="00C73AB2">
      <w:pPr>
        <w:ind w:left="360" w:hanging="360"/>
        <w:jc w:val="both"/>
        <w:rPr>
          <w:rFonts w:ascii="Arial" w:hAnsi="Arial" w:cs="Arial"/>
        </w:rPr>
      </w:pPr>
      <w:r>
        <w:rPr>
          <w:rFonts w:ascii="Arial" w:hAnsi="Arial" w:cs="Arial"/>
        </w:rPr>
        <w:t>za DDM INVEST odvjetnik Davor Jonjić iz Zagreba, punomoć u spisu</w:t>
      </w:r>
    </w:p>
    <w:p w:rsidR="00EF4F77" w:rsidP="00EF4F77" w:rsidRDefault="00EF4F77">
      <w:pPr>
        <w:jc w:val="both"/>
        <w:rPr>
          <w:rFonts w:ascii="Arial" w:hAnsi="Arial" w:cs="Arial"/>
        </w:rPr>
      </w:pPr>
    </w:p>
    <w:p w:rsidR="00EF4F77" w:rsidP="00EF4F77" w:rsidRDefault="00EF4F77">
      <w:pPr>
        <w:jc w:val="both"/>
        <w:rPr>
          <w:rFonts w:ascii="Arial" w:hAnsi="Arial" w:cs="Arial"/>
        </w:rPr>
      </w:pPr>
      <w:r>
        <w:rPr>
          <w:rFonts w:ascii="Arial" w:hAnsi="Arial" w:cs="Arial"/>
        </w:rPr>
        <w:t>Utvrđuje se sljedeće pravo glasa:</w:t>
      </w:r>
    </w:p>
    <w:p w:rsidR="00EF4F77" w:rsidP="00EF4F77" w:rsidRDefault="00EF4F77">
      <w:pPr>
        <w:jc w:val="both"/>
        <w:rPr>
          <w:rFonts w:ascii="Arial" w:hAnsi="Arial" w:cs="Arial"/>
        </w:rPr>
      </w:pPr>
    </w:p>
    <w:tbl>
      <w:tblPr>
        <w:tblW w:w="7280" w:type="dxa"/>
        <w:tblInd w:w="93" w:type="dxa"/>
        <w:tblLook w:firstRow="1" w:lastRow="0" w:firstColumn="1" w:lastColumn="0" w:noHBand="0" w:noVBand="1" w:val="04A0"/>
      </w:tblPr>
      <w:tblGrid>
        <w:gridCol w:w="563"/>
        <w:gridCol w:w="1600"/>
        <w:gridCol w:w="1860"/>
        <w:gridCol w:w="2200"/>
        <w:gridCol w:w="1483"/>
      </w:tblGrid>
      <w:tr w:rsidRPr="00C73AB2" w:rsidR="00C73AB2" w:rsidTr="00C73AB2">
        <w:trPr>
          <w:trHeight w:val="360"/>
        </w:trPr>
        <w:tc>
          <w:tcPr>
            <w:tcW w:w="3900" w:type="dxa"/>
            <w:gridSpan w:val="3"/>
            <w:tcBorders>
              <w:top w:val="nil"/>
              <w:left w:val="nil"/>
              <w:bottom w:val="nil"/>
              <w:right w:val="nil"/>
            </w:tcBorders>
            <w:shd w:val="clear" w:color="auto" w:fill="auto"/>
            <w:noWrap/>
            <w:vAlign w:val="bottom"/>
            <w:hideMark/>
          </w:tcPr>
          <w:p w:rsidRPr="00C73AB2" w:rsidR="00C73AB2" w:rsidP="00C73AB2" w:rsidRDefault="00C73AB2">
            <w:pPr>
              <w:jc w:val="center"/>
              <w:rPr>
                <w:rFonts w:ascii="Arial" w:hAnsi="Arial" w:cs="Arial"/>
                <w:b/>
                <w:bCs/>
              </w:rPr>
            </w:pPr>
            <w:r w:rsidRPr="00C73AB2">
              <w:rPr>
                <w:rFonts w:ascii="Arial" w:hAnsi="Arial" w:cs="Arial"/>
                <w:b/>
                <w:bCs/>
              </w:rPr>
              <w:t>Zbroj ukupno priznatih tražbina</w:t>
            </w:r>
          </w:p>
        </w:tc>
        <w:tc>
          <w:tcPr>
            <w:tcW w:w="2200" w:type="dxa"/>
            <w:tcBorders>
              <w:top w:val="nil"/>
              <w:left w:val="nil"/>
              <w:bottom w:val="nil"/>
              <w:right w:val="nil"/>
            </w:tcBorders>
            <w:shd w:val="clear" w:color="auto" w:fill="auto"/>
            <w:noWrap/>
            <w:vAlign w:val="bottom"/>
            <w:hideMark/>
          </w:tcPr>
          <w:p w:rsidRPr="00C73AB2" w:rsidR="00C73AB2" w:rsidP="00C73AB2" w:rsidRDefault="00C73AB2">
            <w:pPr>
              <w:jc w:val="right"/>
              <w:rPr>
                <w:rFonts w:ascii="Arial" w:hAnsi="Arial" w:cs="Arial"/>
                <w:b/>
                <w:bCs/>
                <w:color w:val="000000"/>
              </w:rPr>
            </w:pPr>
            <w:r w:rsidRPr="00C73AB2">
              <w:rPr>
                <w:rFonts w:ascii="Arial" w:hAnsi="Arial" w:cs="Arial"/>
                <w:b/>
                <w:bCs/>
                <w:color w:val="000000"/>
              </w:rPr>
              <w:t>20.444.524,03</w:t>
            </w:r>
          </w:p>
        </w:tc>
        <w:tc>
          <w:tcPr>
            <w:tcW w:w="1180" w:type="dxa"/>
            <w:tcBorders>
              <w:top w:val="nil"/>
              <w:left w:val="nil"/>
              <w:bottom w:val="nil"/>
              <w:right w:val="nil"/>
            </w:tcBorders>
            <w:shd w:val="clear" w:color="auto" w:fill="auto"/>
            <w:noWrap/>
            <w:vAlign w:val="bottom"/>
            <w:hideMark/>
          </w:tcPr>
          <w:p w:rsidRPr="00C73AB2" w:rsidR="00C73AB2" w:rsidP="00C73AB2" w:rsidRDefault="00C73AB2">
            <w:pPr>
              <w:rPr>
                <w:rFonts w:ascii="Arial" w:hAnsi="Arial" w:cs="Arial"/>
              </w:rPr>
            </w:pPr>
          </w:p>
        </w:tc>
      </w:tr>
      <w:tr w:rsidRPr="00C73AB2" w:rsidR="00C73AB2" w:rsidTr="00C73AB2">
        <w:trPr>
          <w:trHeight w:val="255"/>
        </w:trPr>
        <w:tc>
          <w:tcPr>
            <w:tcW w:w="440" w:type="dxa"/>
            <w:tcBorders>
              <w:top w:val="nil"/>
              <w:left w:val="nil"/>
              <w:bottom w:val="nil"/>
              <w:right w:val="nil"/>
            </w:tcBorders>
            <w:shd w:val="clear" w:color="auto" w:fill="auto"/>
            <w:noWrap/>
            <w:vAlign w:val="bottom"/>
            <w:hideMark/>
          </w:tcPr>
          <w:p w:rsidRPr="00C73AB2" w:rsidR="00C73AB2" w:rsidP="00C73AB2" w:rsidRDefault="00C73AB2">
            <w:pPr>
              <w:rPr>
                <w:rFonts w:ascii="Arial" w:hAnsi="Arial" w:cs="Arial"/>
              </w:rPr>
            </w:pPr>
          </w:p>
        </w:tc>
        <w:tc>
          <w:tcPr>
            <w:tcW w:w="1600" w:type="dxa"/>
            <w:tcBorders>
              <w:top w:val="nil"/>
              <w:left w:val="nil"/>
              <w:bottom w:val="nil"/>
              <w:right w:val="nil"/>
            </w:tcBorders>
            <w:shd w:val="clear" w:color="auto" w:fill="auto"/>
            <w:noWrap/>
            <w:vAlign w:val="bottom"/>
            <w:hideMark/>
          </w:tcPr>
          <w:p w:rsidRPr="00C73AB2" w:rsidR="00C73AB2" w:rsidP="00C73AB2" w:rsidRDefault="00C73AB2">
            <w:pPr>
              <w:rPr>
                <w:rFonts w:ascii="Arial" w:hAnsi="Arial" w:cs="Arial"/>
              </w:rPr>
            </w:pPr>
          </w:p>
        </w:tc>
        <w:tc>
          <w:tcPr>
            <w:tcW w:w="1860" w:type="dxa"/>
            <w:tcBorders>
              <w:top w:val="nil"/>
              <w:left w:val="nil"/>
              <w:bottom w:val="nil"/>
              <w:right w:val="nil"/>
            </w:tcBorders>
            <w:shd w:val="clear" w:color="auto" w:fill="auto"/>
            <w:noWrap/>
            <w:vAlign w:val="bottom"/>
            <w:hideMark/>
          </w:tcPr>
          <w:p w:rsidRPr="00C73AB2" w:rsidR="00C73AB2" w:rsidP="00C73AB2" w:rsidRDefault="00C73AB2">
            <w:pPr>
              <w:rPr>
                <w:rFonts w:ascii="Arial" w:hAnsi="Arial" w:cs="Arial"/>
              </w:rPr>
            </w:pPr>
          </w:p>
        </w:tc>
        <w:tc>
          <w:tcPr>
            <w:tcW w:w="2200" w:type="dxa"/>
            <w:tcBorders>
              <w:top w:val="nil"/>
              <w:left w:val="nil"/>
              <w:bottom w:val="nil"/>
              <w:right w:val="nil"/>
            </w:tcBorders>
            <w:shd w:val="clear" w:color="auto" w:fill="auto"/>
            <w:noWrap/>
            <w:vAlign w:val="bottom"/>
            <w:hideMark/>
          </w:tcPr>
          <w:p w:rsidRPr="00C73AB2" w:rsidR="00C73AB2" w:rsidP="00C73AB2" w:rsidRDefault="00C73AB2">
            <w:pPr>
              <w:rPr>
                <w:rFonts w:ascii="Arial" w:hAnsi="Arial" w:cs="Arial"/>
              </w:rPr>
            </w:pPr>
          </w:p>
        </w:tc>
        <w:tc>
          <w:tcPr>
            <w:tcW w:w="1180" w:type="dxa"/>
            <w:tcBorders>
              <w:top w:val="nil"/>
              <w:left w:val="nil"/>
              <w:bottom w:val="nil"/>
              <w:right w:val="nil"/>
            </w:tcBorders>
            <w:shd w:val="clear" w:color="auto" w:fill="auto"/>
            <w:noWrap/>
            <w:vAlign w:val="bottom"/>
            <w:hideMark/>
          </w:tcPr>
          <w:p w:rsidRPr="00C73AB2" w:rsidR="00C73AB2" w:rsidP="00C73AB2" w:rsidRDefault="00C73AB2">
            <w:pPr>
              <w:rPr>
                <w:rFonts w:ascii="Arial" w:hAnsi="Arial" w:cs="Arial"/>
              </w:rPr>
            </w:pPr>
          </w:p>
        </w:tc>
      </w:tr>
      <w:tr w:rsidRPr="00C73AB2" w:rsidR="00C73AB2" w:rsidTr="00C73AB2">
        <w:trPr>
          <w:trHeight w:val="255"/>
        </w:trPr>
        <w:tc>
          <w:tcPr>
            <w:tcW w:w="440" w:type="dxa"/>
            <w:tcBorders>
              <w:top w:val="nil"/>
              <w:left w:val="nil"/>
              <w:bottom w:val="nil"/>
              <w:right w:val="nil"/>
            </w:tcBorders>
            <w:shd w:val="clear" w:color="auto" w:fill="auto"/>
            <w:noWrap/>
            <w:vAlign w:val="bottom"/>
            <w:hideMark/>
          </w:tcPr>
          <w:p w:rsidRPr="00C73AB2" w:rsidR="00C73AB2" w:rsidP="00C73AB2" w:rsidRDefault="00C73AB2">
            <w:pPr>
              <w:rPr>
                <w:rFonts w:ascii="Arial" w:hAnsi="Arial" w:cs="Arial"/>
              </w:rPr>
            </w:pPr>
          </w:p>
        </w:tc>
        <w:tc>
          <w:tcPr>
            <w:tcW w:w="1600" w:type="dxa"/>
            <w:tcBorders>
              <w:top w:val="nil"/>
              <w:left w:val="nil"/>
              <w:bottom w:val="nil"/>
              <w:right w:val="nil"/>
            </w:tcBorders>
            <w:shd w:val="clear" w:color="auto" w:fill="auto"/>
            <w:noWrap/>
            <w:vAlign w:val="bottom"/>
            <w:hideMark/>
          </w:tcPr>
          <w:p w:rsidRPr="00C73AB2" w:rsidR="00C73AB2" w:rsidP="00C73AB2" w:rsidRDefault="00C73AB2">
            <w:pPr>
              <w:rPr>
                <w:rFonts w:ascii="Arial" w:hAnsi="Arial" w:cs="Arial"/>
              </w:rPr>
            </w:pPr>
          </w:p>
        </w:tc>
        <w:tc>
          <w:tcPr>
            <w:tcW w:w="1860" w:type="dxa"/>
            <w:tcBorders>
              <w:top w:val="nil"/>
              <w:left w:val="nil"/>
              <w:bottom w:val="nil"/>
              <w:right w:val="nil"/>
            </w:tcBorders>
            <w:shd w:val="clear" w:color="auto" w:fill="auto"/>
            <w:noWrap/>
            <w:vAlign w:val="bottom"/>
            <w:hideMark/>
          </w:tcPr>
          <w:p w:rsidRPr="00C73AB2" w:rsidR="00C73AB2" w:rsidP="00C73AB2" w:rsidRDefault="00C73AB2">
            <w:pPr>
              <w:rPr>
                <w:rFonts w:ascii="Arial" w:hAnsi="Arial" w:cs="Arial"/>
              </w:rPr>
            </w:pPr>
          </w:p>
        </w:tc>
        <w:tc>
          <w:tcPr>
            <w:tcW w:w="2200" w:type="dxa"/>
            <w:tcBorders>
              <w:top w:val="nil"/>
              <w:left w:val="nil"/>
              <w:bottom w:val="nil"/>
              <w:right w:val="nil"/>
            </w:tcBorders>
            <w:shd w:val="clear" w:color="auto" w:fill="auto"/>
            <w:noWrap/>
            <w:vAlign w:val="bottom"/>
            <w:hideMark/>
          </w:tcPr>
          <w:p w:rsidRPr="00C73AB2" w:rsidR="00C73AB2" w:rsidP="00C73AB2" w:rsidRDefault="00C73AB2">
            <w:pPr>
              <w:rPr>
                <w:rFonts w:ascii="Arial" w:hAnsi="Arial" w:cs="Arial"/>
              </w:rPr>
            </w:pPr>
          </w:p>
        </w:tc>
        <w:tc>
          <w:tcPr>
            <w:tcW w:w="1180" w:type="dxa"/>
            <w:tcBorders>
              <w:top w:val="nil"/>
              <w:left w:val="nil"/>
              <w:bottom w:val="nil"/>
              <w:right w:val="nil"/>
            </w:tcBorders>
            <w:shd w:val="clear" w:color="auto" w:fill="auto"/>
            <w:noWrap/>
            <w:vAlign w:val="bottom"/>
            <w:hideMark/>
          </w:tcPr>
          <w:p w:rsidRPr="00C73AB2" w:rsidR="00C73AB2" w:rsidP="00C73AB2" w:rsidRDefault="00C73AB2">
            <w:pPr>
              <w:rPr>
                <w:rFonts w:ascii="Arial" w:hAnsi="Arial" w:cs="Arial"/>
              </w:rPr>
            </w:pPr>
          </w:p>
        </w:tc>
      </w:tr>
      <w:tr w:rsidRPr="00C73AB2" w:rsidR="00C73AB2" w:rsidTr="00C73AB2">
        <w:trPr>
          <w:trHeight w:val="300"/>
        </w:trPr>
        <w:tc>
          <w:tcPr>
            <w:tcW w:w="440" w:type="dxa"/>
            <w:tcBorders>
              <w:top w:val="nil"/>
              <w:left w:val="nil"/>
              <w:bottom w:val="nil"/>
              <w:right w:val="nil"/>
            </w:tcBorders>
            <w:shd w:val="clear" w:color="auto" w:fill="auto"/>
            <w:noWrap/>
            <w:vAlign w:val="bottom"/>
            <w:hideMark/>
          </w:tcPr>
          <w:p w:rsidRPr="00C73AB2" w:rsidR="00C73AB2" w:rsidP="00C73AB2" w:rsidRDefault="00C73AB2">
            <w:pPr>
              <w:rPr>
                <w:rFonts w:ascii="Arial" w:hAnsi="Arial" w:cs="Arial"/>
              </w:rPr>
            </w:pPr>
          </w:p>
        </w:tc>
        <w:tc>
          <w:tcPr>
            <w:tcW w:w="1600" w:type="dxa"/>
            <w:tcBorders>
              <w:top w:val="nil"/>
              <w:left w:val="nil"/>
              <w:bottom w:val="nil"/>
              <w:right w:val="nil"/>
            </w:tcBorders>
            <w:shd w:val="clear" w:color="auto" w:fill="auto"/>
            <w:noWrap/>
            <w:vAlign w:val="bottom"/>
            <w:hideMark/>
          </w:tcPr>
          <w:p w:rsidRPr="00C73AB2" w:rsidR="00C73AB2" w:rsidP="00C73AB2" w:rsidRDefault="00C73AB2">
            <w:pPr>
              <w:rPr>
                <w:rFonts w:ascii="Arial" w:hAnsi="Arial" w:cs="Arial"/>
              </w:rPr>
            </w:pPr>
            <w:r w:rsidRPr="00C73AB2">
              <w:rPr>
                <w:rFonts w:ascii="Arial" w:hAnsi="Arial" w:cs="Arial"/>
              </w:rPr>
              <w:t>.</w:t>
            </w:r>
          </w:p>
        </w:tc>
        <w:tc>
          <w:tcPr>
            <w:tcW w:w="1860" w:type="dxa"/>
            <w:tcBorders>
              <w:top w:val="nil"/>
              <w:left w:val="nil"/>
              <w:bottom w:val="nil"/>
              <w:right w:val="nil"/>
            </w:tcBorders>
            <w:shd w:val="clear" w:color="auto" w:fill="auto"/>
            <w:noWrap/>
            <w:vAlign w:val="bottom"/>
            <w:hideMark/>
          </w:tcPr>
          <w:p w:rsidRPr="00C73AB2" w:rsidR="00C73AB2" w:rsidP="00C73AB2" w:rsidRDefault="00C73AB2">
            <w:pPr>
              <w:jc w:val="right"/>
              <w:rPr>
                <w:rFonts w:ascii="Arial" w:hAnsi="Arial" w:cs="Arial"/>
                <w:b/>
                <w:bCs/>
                <w:i/>
                <w:iCs/>
                <w:color w:val="FF0000"/>
              </w:rPr>
            </w:pPr>
            <w:r w:rsidRPr="00C73AB2">
              <w:rPr>
                <w:rFonts w:ascii="Arial" w:hAnsi="Arial" w:cs="Arial"/>
                <w:b/>
                <w:bCs/>
                <w:i/>
                <w:iCs/>
                <w:color w:val="FF0000"/>
              </w:rPr>
              <w:t>20.232.757,07</w:t>
            </w:r>
          </w:p>
        </w:tc>
        <w:tc>
          <w:tcPr>
            <w:tcW w:w="2200" w:type="dxa"/>
            <w:tcBorders>
              <w:top w:val="nil"/>
              <w:left w:val="nil"/>
              <w:bottom w:val="nil"/>
              <w:right w:val="nil"/>
            </w:tcBorders>
            <w:shd w:val="clear" w:color="auto" w:fill="auto"/>
            <w:noWrap/>
            <w:vAlign w:val="bottom"/>
            <w:hideMark/>
          </w:tcPr>
          <w:p w:rsidRPr="00C73AB2" w:rsidR="00C73AB2" w:rsidP="00C73AB2" w:rsidRDefault="00C73AB2">
            <w:pPr>
              <w:jc w:val="center"/>
              <w:rPr>
                <w:rFonts w:ascii="Arial" w:hAnsi="Arial" w:cs="Arial"/>
                <w:b/>
                <w:bCs/>
                <w:i/>
                <w:iCs/>
                <w:color w:val="993300"/>
              </w:rPr>
            </w:pPr>
            <w:r w:rsidRPr="00C73AB2">
              <w:rPr>
                <w:rFonts w:ascii="Arial" w:hAnsi="Arial" w:cs="Arial"/>
                <w:b/>
                <w:bCs/>
                <w:i/>
                <w:iCs/>
                <w:color w:val="993300"/>
              </w:rPr>
              <w:t>98,96</w:t>
            </w:r>
          </w:p>
        </w:tc>
        <w:tc>
          <w:tcPr>
            <w:tcW w:w="1180" w:type="dxa"/>
            <w:tcBorders>
              <w:top w:val="nil"/>
              <w:left w:val="nil"/>
              <w:bottom w:val="nil"/>
              <w:right w:val="nil"/>
            </w:tcBorders>
            <w:shd w:val="clear" w:color="auto" w:fill="auto"/>
            <w:noWrap/>
            <w:vAlign w:val="bottom"/>
            <w:hideMark/>
          </w:tcPr>
          <w:p w:rsidRPr="00C73AB2" w:rsidR="00C73AB2" w:rsidP="00C73AB2" w:rsidRDefault="00C73AB2">
            <w:pPr>
              <w:jc w:val="center"/>
              <w:rPr>
                <w:rFonts w:ascii="Arial" w:hAnsi="Arial" w:cs="Arial"/>
                <w:b/>
                <w:bCs/>
                <w:i/>
                <w:iCs/>
                <w:color w:val="0000FF"/>
              </w:rPr>
            </w:pPr>
            <w:r w:rsidRPr="00C73AB2">
              <w:rPr>
                <w:rFonts w:ascii="Arial" w:hAnsi="Arial" w:cs="Arial"/>
                <w:b/>
                <w:bCs/>
                <w:i/>
                <w:iCs/>
                <w:color w:val="0000FF"/>
              </w:rPr>
              <w:t>100,00</w:t>
            </w:r>
          </w:p>
        </w:tc>
      </w:tr>
      <w:tr w:rsidRPr="00C73AB2" w:rsidR="00C73AB2" w:rsidTr="00C73AB2">
        <w:trPr>
          <w:trHeight w:val="322"/>
        </w:trPr>
        <w:tc>
          <w:tcPr>
            <w:tcW w:w="440" w:type="dxa"/>
            <w:vMerge w:val="restart"/>
            <w:tcBorders>
              <w:top w:val="nil"/>
              <w:left w:val="nil"/>
              <w:bottom w:val="nil"/>
              <w:right w:val="nil"/>
            </w:tcBorders>
            <w:shd w:val="clear" w:color="auto" w:fill="auto"/>
            <w:vAlign w:val="center"/>
            <w:hideMark/>
          </w:tcPr>
          <w:p w:rsidRPr="00C73AB2" w:rsidR="00C73AB2" w:rsidP="00C73AB2" w:rsidRDefault="00C73AB2">
            <w:pPr>
              <w:jc w:val="center"/>
              <w:rPr>
                <w:rFonts w:ascii="Arial" w:hAnsi="Arial" w:cs="Arial"/>
                <w:b/>
                <w:bCs/>
              </w:rPr>
            </w:pPr>
            <w:r w:rsidRPr="00C73AB2">
              <w:rPr>
                <w:rFonts w:ascii="Arial" w:hAnsi="Arial" w:cs="Arial"/>
                <w:b/>
                <w:bCs/>
              </w:rPr>
              <w:t>RB</w:t>
            </w:r>
          </w:p>
        </w:tc>
        <w:tc>
          <w:tcPr>
            <w:tcW w:w="1600" w:type="dxa"/>
            <w:vMerge w:val="restart"/>
            <w:tcBorders>
              <w:top w:val="nil"/>
              <w:left w:val="nil"/>
              <w:bottom w:val="nil"/>
              <w:right w:val="nil"/>
            </w:tcBorders>
            <w:shd w:val="clear" w:color="auto" w:fill="auto"/>
            <w:vAlign w:val="center"/>
            <w:hideMark/>
          </w:tcPr>
          <w:p w:rsidRPr="00C73AB2" w:rsidR="00C73AB2" w:rsidP="00C73AB2" w:rsidRDefault="00C73AB2">
            <w:pPr>
              <w:jc w:val="center"/>
              <w:rPr>
                <w:rFonts w:ascii="Arial" w:hAnsi="Arial" w:cs="Arial"/>
                <w:b/>
                <w:bCs/>
              </w:rPr>
            </w:pPr>
            <w:r w:rsidRPr="00C73AB2">
              <w:rPr>
                <w:rFonts w:ascii="Arial" w:hAnsi="Arial" w:cs="Arial"/>
                <w:b/>
                <w:bCs/>
              </w:rPr>
              <w:t>Prisutni  na SKUPŠTINI</w:t>
            </w:r>
          </w:p>
        </w:tc>
        <w:tc>
          <w:tcPr>
            <w:tcW w:w="1860" w:type="dxa"/>
            <w:vMerge w:val="restart"/>
            <w:tcBorders>
              <w:top w:val="nil"/>
              <w:left w:val="nil"/>
              <w:bottom w:val="nil"/>
              <w:right w:val="nil"/>
            </w:tcBorders>
            <w:shd w:val="clear" w:color="auto" w:fill="auto"/>
            <w:vAlign w:val="center"/>
            <w:hideMark/>
          </w:tcPr>
          <w:p w:rsidRPr="00C73AB2" w:rsidR="00C73AB2" w:rsidP="00C73AB2" w:rsidRDefault="00C73AB2">
            <w:pPr>
              <w:jc w:val="center"/>
              <w:rPr>
                <w:rFonts w:ascii="Arial" w:hAnsi="Arial" w:cs="Arial"/>
                <w:b/>
                <w:bCs/>
                <w:color w:val="FF0000"/>
              </w:rPr>
            </w:pPr>
            <w:r w:rsidRPr="00C73AB2">
              <w:rPr>
                <w:rFonts w:ascii="Arial" w:hAnsi="Arial" w:cs="Arial"/>
                <w:b/>
                <w:bCs/>
                <w:color w:val="FF0000"/>
              </w:rPr>
              <w:t>Tražbina</w:t>
            </w:r>
          </w:p>
        </w:tc>
        <w:tc>
          <w:tcPr>
            <w:tcW w:w="2200" w:type="dxa"/>
            <w:vMerge w:val="restart"/>
            <w:tcBorders>
              <w:top w:val="nil"/>
              <w:left w:val="nil"/>
              <w:bottom w:val="nil"/>
              <w:right w:val="nil"/>
            </w:tcBorders>
            <w:shd w:val="clear" w:color="auto" w:fill="auto"/>
            <w:vAlign w:val="center"/>
            <w:hideMark/>
          </w:tcPr>
          <w:p w:rsidRPr="00C73AB2" w:rsidR="00C73AB2" w:rsidP="00C73AB2" w:rsidRDefault="00C73AB2">
            <w:pPr>
              <w:jc w:val="center"/>
              <w:rPr>
                <w:rFonts w:ascii="Arial" w:hAnsi="Arial" w:cs="Arial"/>
                <w:b/>
                <w:bCs/>
                <w:color w:val="993300"/>
              </w:rPr>
            </w:pPr>
            <w:r w:rsidRPr="00C73AB2">
              <w:rPr>
                <w:rFonts w:ascii="Arial" w:hAnsi="Arial" w:cs="Arial"/>
                <w:b/>
                <w:bCs/>
                <w:color w:val="993300"/>
              </w:rPr>
              <w:t>Postotak</w:t>
            </w:r>
          </w:p>
        </w:tc>
        <w:tc>
          <w:tcPr>
            <w:tcW w:w="1180" w:type="dxa"/>
            <w:vMerge w:val="restart"/>
            <w:tcBorders>
              <w:top w:val="nil"/>
              <w:left w:val="nil"/>
              <w:bottom w:val="nil"/>
              <w:right w:val="nil"/>
            </w:tcBorders>
            <w:shd w:val="clear" w:color="auto" w:fill="auto"/>
            <w:vAlign w:val="center"/>
            <w:hideMark/>
          </w:tcPr>
          <w:p w:rsidRPr="00C73AB2" w:rsidR="00C73AB2" w:rsidP="00C73AB2" w:rsidRDefault="00C73AB2">
            <w:pPr>
              <w:jc w:val="center"/>
              <w:rPr>
                <w:rFonts w:ascii="Arial" w:hAnsi="Arial" w:cs="Arial"/>
                <w:color w:val="0000FF"/>
              </w:rPr>
            </w:pPr>
            <w:r w:rsidRPr="00C73AB2">
              <w:rPr>
                <w:rFonts w:ascii="Arial" w:hAnsi="Arial" w:cs="Arial"/>
                <w:color w:val="0000FF"/>
              </w:rPr>
              <w:t>Glasovi  na SKUPŠTINI</w:t>
            </w:r>
          </w:p>
        </w:tc>
      </w:tr>
      <w:tr w:rsidRPr="00C73AB2" w:rsidR="00C73AB2" w:rsidTr="00C73AB2">
        <w:trPr>
          <w:trHeight w:val="480"/>
        </w:trPr>
        <w:tc>
          <w:tcPr>
            <w:tcW w:w="440" w:type="dxa"/>
            <w:vMerge/>
            <w:tcBorders>
              <w:top w:val="nil"/>
              <w:left w:val="nil"/>
              <w:bottom w:val="nil"/>
              <w:right w:val="nil"/>
            </w:tcBorders>
            <w:vAlign w:val="center"/>
            <w:hideMark/>
          </w:tcPr>
          <w:p w:rsidRPr="00C73AB2" w:rsidR="00C73AB2" w:rsidP="00C73AB2" w:rsidRDefault="00C73AB2">
            <w:pPr>
              <w:rPr>
                <w:rFonts w:ascii="Arial" w:hAnsi="Arial" w:cs="Arial"/>
                <w:b/>
                <w:bCs/>
              </w:rPr>
            </w:pPr>
          </w:p>
        </w:tc>
        <w:tc>
          <w:tcPr>
            <w:tcW w:w="1600" w:type="dxa"/>
            <w:vMerge/>
            <w:tcBorders>
              <w:top w:val="nil"/>
              <w:left w:val="nil"/>
              <w:bottom w:val="nil"/>
              <w:right w:val="nil"/>
            </w:tcBorders>
            <w:vAlign w:val="center"/>
            <w:hideMark/>
          </w:tcPr>
          <w:p w:rsidRPr="00C73AB2" w:rsidR="00C73AB2" w:rsidP="00C73AB2" w:rsidRDefault="00C73AB2">
            <w:pPr>
              <w:rPr>
                <w:rFonts w:ascii="Arial" w:hAnsi="Arial" w:cs="Arial"/>
                <w:b/>
                <w:bCs/>
              </w:rPr>
            </w:pPr>
          </w:p>
        </w:tc>
        <w:tc>
          <w:tcPr>
            <w:tcW w:w="1860" w:type="dxa"/>
            <w:vMerge/>
            <w:tcBorders>
              <w:top w:val="nil"/>
              <w:left w:val="nil"/>
              <w:bottom w:val="nil"/>
              <w:right w:val="nil"/>
            </w:tcBorders>
            <w:vAlign w:val="center"/>
            <w:hideMark/>
          </w:tcPr>
          <w:p w:rsidRPr="00C73AB2" w:rsidR="00C73AB2" w:rsidP="00C73AB2" w:rsidRDefault="00C73AB2">
            <w:pPr>
              <w:rPr>
                <w:rFonts w:ascii="Arial" w:hAnsi="Arial" w:cs="Arial"/>
                <w:b/>
                <w:bCs/>
                <w:color w:val="FF0000"/>
              </w:rPr>
            </w:pPr>
          </w:p>
        </w:tc>
        <w:tc>
          <w:tcPr>
            <w:tcW w:w="2200" w:type="dxa"/>
            <w:vMerge/>
            <w:tcBorders>
              <w:top w:val="nil"/>
              <w:left w:val="nil"/>
              <w:bottom w:val="nil"/>
              <w:right w:val="nil"/>
            </w:tcBorders>
            <w:vAlign w:val="center"/>
            <w:hideMark/>
          </w:tcPr>
          <w:p w:rsidRPr="00C73AB2" w:rsidR="00C73AB2" w:rsidP="00C73AB2" w:rsidRDefault="00C73AB2">
            <w:pPr>
              <w:rPr>
                <w:rFonts w:ascii="Arial" w:hAnsi="Arial" w:cs="Arial"/>
                <w:b/>
                <w:bCs/>
                <w:color w:val="993300"/>
              </w:rPr>
            </w:pPr>
          </w:p>
        </w:tc>
        <w:tc>
          <w:tcPr>
            <w:tcW w:w="1180" w:type="dxa"/>
            <w:vMerge/>
            <w:tcBorders>
              <w:top w:val="nil"/>
              <w:left w:val="nil"/>
              <w:bottom w:val="nil"/>
              <w:right w:val="nil"/>
            </w:tcBorders>
            <w:vAlign w:val="center"/>
            <w:hideMark/>
          </w:tcPr>
          <w:p w:rsidRPr="00C73AB2" w:rsidR="00C73AB2" w:rsidP="00C73AB2" w:rsidRDefault="00C73AB2">
            <w:pPr>
              <w:rPr>
                <w:rFonts w:ascii="Arial" w:hAnsi="Arial" w:cs="Arial"/>
                <w:color w:val="0000FF"/>
              </w:rPr>
            </w:pPr>
          </w:p>
        </w:tc>
      </w:tr>
      <w:tr w:rsidRPr="00C73AB2" w:rsidR="00C73AB2" w:rsidTr="00C73AB2">
        <w:trPr>
          <w:trHeight w:val="315"/>
        </w:trPr>
        <w:tc>
          <w:tcPr>
            <w:tcW w:w="440" w:type="dxa"/>
            <w:tcBorders>
              <w:top w:val="nil"/>
              <w:left w:val="nil"/>
              <w:bottom w:val="nil"/>
              <w:right w:val="nil"/>
            </w:tcBorders>
            <w:shd w:val="clear" w:color="auto" w:fill="auto"/>
            <w:noWrap/>
            <w:vAlign w:val="bottom"/>
            <w:hideMark/>
          </w:tcPr>
          <w:p w:rsidRPr="00C73AB2" w:rsidR="00C73AB2" w:rsidP="00C73AB2" w:rsidRDefault="00C73AB2">
            <w:pPr>
              <w:jc w:val="right"/>
              <w:rPr>
                <w:rFonts w:ascii="Arial" w:hAnsi="Arial" w:cs="Arial"/>
              </w:rPr>
            </w:pPr>
            <w:r w:rsidRPr="00C73AB2">
              <w:rPr>
                <w:rFonts w:ascii="Arial" w:hAnsi="Arial" w:cs="Arial"/>
              </w:rPr>
              <w:t>1</w:t>
            </w:r>
          </w:p>
        </w:tc>
        <w:tc>
          <w:tcPr>
            <w:tcW w:w="1600" w:type="dxa"/>
            <w:tcBorders>
              <w:top w:val="nil"/>
              <w:left w:val="nil"/>
              <w:bottom w:val="nil"/>
              <w:right w:val="nil"/>
            </w:tcBorders>
            <w:shd w:val="clear" w:color="auto" w:fill="auto"/>
            <w:noWrap/>
            <w:vAlign w:val="bottom"/>
            <w:hideMark/>
          </w:tcPr>
          <w:p w:rsidRPr="00C73AB2" w:rsidR="00C73AB2" w:rsidP="00C73AB2" w:rsidRDefault="00C73AB2">
            <w:pPr>
              <w:rPr>
                <w:rFonts w:ascii="Arial" w:hAnsi="Arial" w:cs="Arial"/>
              </w:rPr>
            </w:pPr>
            <w:r w:rsidRPr="00C73AB2">
              <w:rPr>
                <w:rFonts w:ascii="Arial" w:hAnsi="Arial" w:cs="Arial"/>
              </w:rPr>
              <w:t>RH</w:t>
            </w:r>
          </w:p>
        </w:tc>
        <w:tc>
          <w:tcPr>
            <w:tcW w:w="1860" w:type="dxa"/>
            <w:tcBorders>
              <w:top w:val="nil"/>
              <w:left w:val="nil"/>
              <w:bottom w:val="nil"/>
              <w:right w:val="nil"/>
            </w:tcBorders>
            <w:shd w:val="clear" w:color="auto" w:fill="auto"/>
            <w:noWrap/>
            <w:vAlign w:val="bottom"/>
            <w:hideMark/>
          </w:tcPr>
          <w:p w:rsidRPr="00C73AB2" w:rsidR="00C73AB2" w:rsidP="00C73AB2" w:rsidRDefault="00C73AB2">
            <w:pPr>
              <w:jc w:val="right"/>
              <w:rPr>
                <w:rFonts w:ascii="Arial" w:hAnsi="Arial" w:cs="Arial"/>
              </w:rPr>
            </w:pPr>
            <w:r w:rsidRPr="00C73AB2">
              <w:rPr>
                <w:rFonts w:ascii="Arial" w:hAnsi="Arial" w:cs="Arial"/>
              </w:rPr>
              <w:t>560.329,79</w:t>
            </w:r>
          </w:p>
        </w:tc>
        <w:tc>
          <w:tcPr>
            <w:tcW w:w="2200" w:type="dxa"/>
            <w:tcBorders>
              <w:top w:val="nil"/>
              <w:left w:val="nil"/>
              <w:bottom w:val="nil"/>
              <w:right w:val="nil"/>
            </w:tcBorders>
            <w:shd w:val="clear" w:color="auto" w:fill="auto"/>
            <w:noWrap/>
            <w:vAlign w:val="bottom"/>
            <w:hideMark/>
          </w:tcPr>
          <w:p w:rsidRPr="00C73AB2" w:rsidR="00C73AB2" w:rsidP="00C73AB2" w:rsidRDefault="00C73AB2">
            <w:pPr>
              <w:jc w:val="center"/>
              <w:rPr>
                <w:rFonts w:ascii="Arial" w:hAnsi="Arial" w:cs="Arial"/>
              </w:rPr>
            </w:pPr>
            <w:r w:rsidRPr="00C73AB2">
              <w:rPr>
                <w:rFonts w:ascii="Arial" w:hAnsi="Arial" w:cs="Arial"/>
              </w:rPr>
              <w:t>2,74</w:t>
            </w:r>
          </w:p>
        </w:tc>
        <w:tc>
          <w:tcPr>
            <w:tcW w:w="1180" w:type="dxa"/>
            <w:tcBorders>
              <w:top w:val="nil"/>
              <w:left w:val="nil"/>
              <w:bottom w:val="nil"/>
              <w:right w:val="nil"/>
            </w:tcBorders>
            <w:shd w:val="clear" w:color="auto" w:fill="auto"/>
            <w:noWrap/>
            <w:vAlign w:val="bottom"/>
            <w:hideMark/>
          </w:tcPr>
          <w:p w:rsidRPr="00C73AB2" w:rsidR="00C73AB2" w:rsidP="00C73AB2" w:rsidRDefault="00C73AB2">
            <w:pPr>
              <w:jc w:val="center"/>
              <w:rPr>
                <w:rFonts w:ascii="Arial" w:hAnsi="Arial" w:cs="Arial"/>
              </w:rPr>
            </w:pPr>
            <w:r w:rsidRPr="00C73AB2">
              <w:rPr>
                <w:rFonts w:ascii="Arial" w:hAnsi="Arial" w:cs="Arial"/>
              </w:rPr>
              <w:t>2,77</w:t>
            </w:r>
          </w:p>
        </w:tc>
      </w:tr>
      <w:tr w:rsidRPr="00C73AB2" w:rsidR="00C73AB2" w:rsidTr="00C73AB2">
        <w:trPr>
          <w:trHeight w:val="255"/>
        </w:trPr>
        <w:tc>
          <w:tcPr>
            <w:tcW w:w="440" w:type="dxa"/>
            <w:tcBorders>
              <w:top w:val="nil"/>
              <w:left w:val="nil"/>
              <w:bottom w:val="nil"/>
              <w:right w:val="nil"/>
            </w:tcBorders>
            <w:shd w:val="clear" w:color="auto" w:fill="auto"/>
            <w:noWrap/>
            <w:vAlign w:val="bottom"/>
            <w:hideMark/>
          </w:tcPr>
          <w:p w:rsidRPr="00C73AB2" w:rsidR="00C73AB2" w:rsidP="00C73AB2" w:rsidRDefault="00C73AB2">
            <w:pPr>
              <w:jc w:val="right"/>
              <w:rPr>
                <w:rFonts w:ascii="Arial" w:hAnsi="Arial" w:cs="Arial"/>
              </w:rPr>
            </w:pPr>
            <w:r w:rsidRPr="00C73AB2">
              <w:rPr>
                <w:rFonts w:ascii="Arial" w:hAnsi="Arial" w:cs="Arial"/>
              </w:rPr>
              <w:t>2</w:t>
            </w:r>
          </w:p>
        </w:tc>
        <w:tc>
          <w:tcPr>
            <w:tcW w:w="1600" w:type="dxa"/>
            <w:tcBorders>
              <w:top w:val="nil"/>
              <w:left w:val="nil"/>
              <w:bottom w:val="nil"/>
              <w:right w:val="nil"/>
            </w:tcBorders>
            <w:shd w:val="clear" w:color="auto" w:fill="auto"/>
            <w:noWrap/>
            <w:vAlign w:val="bottom"/>
            <w:hideMark/>
          </w:tcPr>
          <w:p w:rsidRPr="00C73AB2" w:rsidR="00C73AB2" w:rsidP="00C73AB2" w:rsidRDefault="00C73AB2">
            <w:pPr>
              <w:rPr>
                <w:rFonts w:ascii="Arial" w:hAnsi="Arial" w:cs="Arial"/>
              </w:rPr>
            </w:pPr>
            <w:r w:rsidRPr="00C73AB2">
              <w:rPr>
                <w:rFonts w:ascii="Arial" w:hAnsi="Arial" w:cs="Arial"/>
              </w:rPr>
              <w:t>DDM</w:t>
            </w:r>
          </w:p>
        </w:tc>
        <w:tc>
          <w:tcPr>
            <w:tcW w:w="1860" w:type="dxa"/>
            <w:tcBorders>
              <w:top w:val="nil"/>
              <w:left w:val="nil"/>
              <w:bottom w:val="nil"/>
              <w:right w:val="nil"/>
            </w:tcBorders>
            <w:shd w:val="clear" w:color="auto" w:fill="auto"/>
            <w:noWrap/>
            <w:vAlign w:val="bottom"/>
            <w:hideMark/>
          </w:tcPr>
          <w:p w:rsidRPr="00C73AB2" w:rsidR="00C73AB2" w:rsidP="00C73AB2" w:rsidRDefault="00C73AB2">
            <w:pPr>
              <w:jc w:val="right"/>
              <w:rPr>
                <w:rFonts w:ascii="Arial" w:hAnsi="Arial" w:cs="Arial"/>
              </w:rPr>
            </w:pPr>
            <w:r w:rsidRPr="00C73AB2">
              <w:rPr>
                <w:rFonts w:ascii="Arial" w:hAnsi="Arial" w:cs="Arial"/>
              </w:rPr>
              <w:t>19.672.427,28</w:t>
            </w:r>
          </w:p>
        </w:tc>
        <w:tc>
          <w:tcPr>
            <w:tcW w:w="2200" w:type="dxa"/>
            <w:tcBorders>
              <w:top w:val="nil"/>
              <w:left w:val="nil"/>
              <w:bottom w:val="nil"/>
              <w:right w:val="nil"/>
            </w:tcBorders>
            <w:shd w:val="clear" w:color="auto" w:fill="auto"/>
            <w:noWrap/>
            <w:vAlign w:val="bottom"/>
            <w:hideMark/>
          </w:tcPr>
          <w:p w:rsidRPr="00C73AB2" w:rsidR="00C73AB2" w:rsidP="00C73AB2" w:rsidRDefault="00C73AB2">
            <w:pPr>
              <w:jc w:val="center"/>
              <w:rPr>
                <w:rFonts w:ascii="Arial" w:hAnsi="Arial" w:cs="Arial"/>
              </w:rPr>
            </w:pPr>
            <w:r w:rsidRPr="00C73AB2">
              <w:rPr>
                <w:rFonts w:ascii="Arial" w:hAnsi="Arial" w:cs="Arial"/>
              </w:rPr>
              <w:t>96,22</w:t>
            </w:r>
          </w:p>
        </w:tc>
        <w:tc>
          <w:tcPr>
            <w:tcW w:w="1180" w:type="dxa"/>
            <w:tcBorders>
              <w:top w:val="nil"/>
              <w:left w:val="nil"/>
              <w:bottom w:val="nil"/>
              <w:right w:val="nil"/>
            </w:tcBorders>
            <w:shd w:val="clear" w:color="auto" w:fill="auto"/>
            <w:noWrap/>
            <w:vAlign w:val="bottom"/>
            <w:hideMark/>
          </w:tcPr>
          <w:p w:rsidRPr="00C73AB2" w:rsidR="00C73AB2" w:rsidP="00C73AB2" w:rsidRDefault="00C73AB2">
            <w:pPr>
              <w:jc w:val="center"/>
              <w:rPr>
                <w:rFonts w:ascii="Arial" w:hAnsi="Arial" w:cs="Arial"/>
              </w:rPr>
            </w:pPr>
            <w:r w:rsidRPr="00C73AB2">
              <w:rPr>
                <w:rFonts w:ascii="Arial" w:hAnsi="Arial" w:cs="Arial"/>
              </w:rPr>
              <w:t>97,23</w:t>
            </w:r>
          </w:p>
        </w:tc>
      </w:tr>
    </w:tbl>
    <w:p w:rsidRPr="00380A98" w:rsidR="00EF4F77" w:rsidP="00EF4F77" w:rsidRDefault="00EF4F77">
      <w:pPr>
        <w:jc w:val="both"/>
        <w:rPr>
          <w:rFonts w:ascii="Arial" w:hAnsi="Arial" w:cs="Arial"/>
        </w:rPr>
      </w:pPr>
    </w:p>
    <w:p w:rsidRPr="00380A98" w:rsidR="00EF4F77" w:rsidP="00EF4F77" w:rsidRDefault="00EF4F77">
      <w:pPr>
        <w:tabs>
          <w:tab w:val="left" w:pos="960"/>
        </w:tabs>
        <w:jc w:val="both"/>
        <w:rPr>
          <w:rFonts w:ascii="Arial" w:hAnsi="Arial" w:cs="Arial"/>
        </w:rPr>
      </w:pPr>
      <w:r w:rsidRPr="00380A98">
        <w:rPr>
          <w:rFonts w:ascii="Arial" w:hAnsi="Arial" w:cs="Arial"/>
        </w:rPr>
        <w:t>Ad 1)</w:t>
      </w:r>
    </w:p>
    <w:p w:rsidRPr="00380A98" w:rsidR="00EF4F77" w:rsidP="00EF4F77" w:rsidRDefault="00EF4F77">
      <w:pPr>
        <w:tabs>
          <w:tab w:val="left" w:pos="960"/>
        </w:tabs>
        <w:jc w:val="both"/>
        <w:rPr>
          <w:rFonts w:ascii="Arial" w:hAnsi="Arial" w:cs="Arial"/>
        </w:rPr>
      </w:pPr>
    </w:p>
    <w:p w:rsidR="00C73AB2" w:rsidP="00EF4F77" w:rsidRDefault="00EF4F77">
      <w:pPr>
        <w:tabs>
          <w:tab w:val="left" w:pos="960"/>
        </w:tabs>
        <w:jc w:val="both"/>
        <w:rPr>
          <w:rFonts w:ascii="Arial" w:hAnsi="Arial" w:cs="Arial"/>
        </w:rPr>
      </w:pPr>
      <w:r w:rsidRPr="00380A98">
        <w:rPr>
          <w:rFonts w:ascii="Arial" w:hAnsi="Arial" w:cs="Arial"/>
        </w:rPr>
        <w:t>Stečajni upravitelj ukratko iznosi izvješće koji je sastavni dio ovog zapisnika i</w:t>
      </w:r>
      <w:r>
        <w:rPr>
          <w:rFonts w:ascii="Arial" w:hAnsi="Arial" w:cs="Arial"/>
        </w:rPr>
        <w:t xml:space="preserve"> koje je objavljeno</w:t>
      </w:r>
      <w:r w:rsidR="00C73AB2">
        <w:rPr>
          <w:rFonts w:ascii="Arial" w:hAnsi="Arial" w:cs="Arial"/>
        </w:rPr>
        <w:t xml:space="preserve"> i izloženo</w:t>
      </w:r>
      <w:r>
        <w:rPr>
          <w:rFonts w:ascii="Arial" w:hAnsi="Arial" w:cs="Arial"/>
        </w:rPr>
        <w:t xml:space="preserve"> 12. listopada 2022.</w:t>
      </w:r>
      <w:r w:rsidR="00C73AB2">
        <w:rPr>
          <w:rFonts w:ascii="Arial" w:hAnsi="Arial" w:cs="Arial"/>
        </w:rPr>
        <w:t xml:space="preserve"> Posebno navodi da stečajni dužnik ima nekretnine i to poslovne prostore u Zadru na pored autobusnog kolodvora. Nekretnine se iznajmljuju i smatra da s obzirom na činjenicu da se iznajmljuju TRIGLAV OSIRUGRANJU I VASI d.o.o., Zagreb, da najmoprimci plaćaju ugovoreni najam, ali ne stečajnom dužniku te da treba utvrditi kome točno mjesečno se plaća iznos od oko 4.000,00 eura. Nadalje ističe da prema poslovnim knjigama dužnik ima pokretnina u vrijednosti od 1.200.000,00 kuna a u naravi rezervni dijelovi za automobile, međutim da u naravi te pokretnine ne postoje već je zastupnik po zakonu dužnika naveo da ih je bacio.</w:t>
      </w:r>
    </w:p>
    <w:p w:rsidR="00EF4F77" w:rsidP="00EF4F77" w:rsidRDefault="00EF4F77">
      <w:pPr>
        <w:tabs>
          <w:tab w:val="left" w:pos="960"/>
        </w:tabs>
        <w:jc w:val="both"/>
        <w:rPr>
          <w:rFonts w:ascii="Arial" w:hAnsi="Arial" w:cs="Arial"/>
        </w:rPr>
      </w:pPr>
    </w:p>
    <w:p w:rsidR="00EF4F77" w:rsidP="00EF4F77" w:rsidRDefault="00EF4F77">
      <w:pPr>
        <w:tabs>
          <w:tab w:val="left" w:pos="960"/>
        </w:tabs>
        <w:jc w:val="both"/>
        <w:rPr>
          <w:rFonts w:ascii="Arial" w:hAnsi="Arial" w:cs="Arial"/>
        </w:rPr>
      </w:pPr>
      <w:r>
        <w:rPr>
          <w:rFonts w:ascii="Arial" w:hAnsi="Arial" w:cs="Arial"/>
        </w:rPr>
        <w:t>Nitko od nazočnih vjerovnika nema primjedbi na izvješće stečajnog upravitelja pa se isto daje na prihvaćanje.</w:t>
      </w:r>
    </w:p>
    <w:p w:rsidRPr="00380A98" w:rsidR="00EF4F77" w:rsidP="00EF4F77" w:rsidRDefault="00EF4F77">
      <w:pPr>
        <w:tabs>
          <w:tab w:val="left" w:pos="960"/>
        </w:tabs>
        <w:jc w:val="both"/>
        <w:rPr>
          <w:rFonts w:ascii="Arial" w:hAnsi="Arial" w:cs="Arial"/>
        </w:rPr>
      </w:pPr>
    </w:p>
    <w:p w:rsidRPr="00380A98" w:rsidR="00EF4F77" w:rsidP="00EF4F77" w:rsidRDefault="00EF4F77">
      <w:pPr>
        <w:tabs>
          <w:tab w:val="left" w:pos="960"/>
        </w:tabs>
        <w:jc w:val="both"/>
        <w:rPr>
          <w:rFonts w:ascii="Arial" w:hAnsi="Arial" w:cs="Arial"/>
        </w:rPr>
      </w:pPr>
      <w:r w:rsidRPr="00380A98">
        <w:rPr>
          <w:rFonts w:ascii="Arial" w:hAnsi="Arial" w:cs="Arial"/>
        </w:rPr>
        <w:t xml:space="preserve">Za prihvaćanje izvješća stečajnog upravitelja </w:t>
      </w:r>
      <w:r>
        <w:rPr>
          <w:rFonts w:ascii="Arial" w:hAnsi="Arial" w:cs="Arial"/>
        </w:rPr>
        <w:t>glasuj</w:t>
      </w:r>
      <w:r w:rsidR="000F1525">
        <w:rPr>
          <w:rFonts w:ascii="Arial" w:hAnsi="Arial" w:cs="Arial"/>
        </w:rPr>
        <w:t>u svi nazočni vjerovnici</w:t>
      </w:r>
      <w:r w:rsidRPr="00380A98">
        <w:rPr>
          <w:rFonts w:ascii="Arial" w:hAnsi="Arial" w:cs="Arial"/>
        </w:rPr>
        <w:t xml:space="preserve">. </w:t>
      </w:r>
    </w:p>
    <w:p w:rsidRPr="00380A98" w:rsidR="00EF4F77" w:rsidP="00EF4F77" w:rsidRDefault="00EF4F77">
      <w:pPr>
        <w:tabs>
          <w:tab w:val="left" w:pos="960"/>
        </w:tabs>
        <w:jc w:val="both"/>
        <w:rPr>
          <w:rFonts w:ascii="Arial" w:hAnsi="Arial" w:cs="Arial"/>
        </w:rPr>
      </w:pPr>
    </w:p>
    <w:p w:rsidRPr="00380A98" w:rsidR="00EF4F77" w:rsidP="00EF4F77" w:rsidRDefault="00EF4F77">
      <w:pPr>
        <w:tabs>
          <w:tab w:val="left" w:pos="960"/>
        </w:tabs>
        <w:jc w:val="both"/>
        <w:rPr>
          <w:rFonts w:ascii="Arial" w:hAnsi="Arial" w:cs="Arial"/>
        </w:rPr>
      </w:pPr>
      <w:r w:rsidRPr="00380A98">
        <w:rPr>
          <w:rFonts w:ascii="Arial" w:hAnsi="Arial" w:cs="Arial"/>
        </w:rPr>
        <w:t>Sud utvrđuje da je izvješće stečajnog upravitelja prihvaćeno.</w:t>
      </w:r>
    </w:p>
    <w:p w:rsidRPr="00380A98" w:rsidR="00EF4F77" w:rsidP="00EF4F77" w:rsidRDefault="00EF4F77">
      <w:pPr>
        <w:tabs>
          <w:tab w:val="left" w:pos="960"/>
        </w:tabs>
        <w:jc w:val="both"/>
        <w:rPr>
          <w:rFonts w:ascii="Arial" w:hAnsi="Arial" w:cs="Arial"/>
        </w:rPr>
      </w:pPr>
    </w:p>
    <w:p w:rsidRPr="00380A98" w:rsidR="00EF4F77" w:rsidP="00EF4F77" w:rsidRDefault="00EF4F77">
      <w:pPr>
        <w:tabs>
          <w:tab w:val="left" w:pos="960"/>
        </w:tabs>
        <w:jc w:val="both"/>
        <w:rPr>
          <w:rFonts w:ascii="Arial" w:hAnsi="Arial" w:cs="Arial"/>
        </w:rPr>
      </w:pPr>
      <w:r w:rsidRPr="00380A98">
        <w:rPr>
          <w:rFonts w:ascii="Arial" w:hAnsi="Arial" w:cs="Arial"/>
        </w:rPr>
        <w:t>Ad 2)</w:t>
      </w:r>
    </w:p>
    <w:p w:rsidRPr="00380A98" w:rsidR="00EF4F77" w:rsidP="00EF4F77" w:rsidRDefault="00EF4F77">
      <w:pPr>
        <w:tabs>
          <w:tab w:val="left" w:pos="960"/>
        </w:tabs>
        <w:jc w:val="both"/>
        <w:rPr>
          <w:rFonts w:ascii="Arial" w:hAnsi="Arial" w:cs="Arial"/>
        </w:rPr>
      </w:pPr>
    </w:p>
    <w:p w:rsidRPr="00380A98" w:rsidR="00EF4F77" w:rsidP="00EF4F77" w:rsidRDefault="00EF4F77">
      <w:pPr>
        <w:tabs>
          <w:tab w:val="left" w:pos="960"/>
        </w:tabs>
        <w:jc w:val="both"/>
        <w:rPr>
          <w:rFonts w:ascii="Arial" w:hAnsi="Arial" w:cs="Arial"/>
        </w:rPr>
      </w:pPr>
      <w:r w:rsidRPr="00380A98">
        <w:rPr>
          <w:rFonts w:ascii="Arial" w:hAnsi="Arial" w:cs="Arial"/>
        </w:rPr>
        <w:lastRenderedPageBreak/>
        <w:t>Prelazi se na raspravu o predračunu troškova stečajnog postupka.</w:t>
      </w:r>
    </w:p>
    <w:p w:rsidRPr="00380A98" w:rsidR="00EF4F77" w:rsidP="00EF4F77" w:rsidRDefault="00EF4F77">
      <w:pPr>
        <w:tabs>
          <w:tab w:val="left" w:pos="960"/>
        </w:tabs>
        <w:jc w:val="both"/>
        <w:rPr>
          <w:rFonts w:ascii="Arial" w:hAnsi="Arial" w:cs="Arial"/>
        </w:rPr>
      </w:pPr>
    </w:p>
    <w:p w:rsidR="000F1525" w:rsidP="00EF4F77" w:rsidRDefault="00EF4F77">
      <w:pPr>
        <w:tabs>
          <w:tab w:val="left" w:pos="960"/>
        </w:tabs>
        <w:jc w:val="both"/>
        <w:rPr>
          <w:rFonts w:ascii="Arial" w:hAnsi="Arial" w:cs="Arial"/>
        </w:rPr>
      </w:pPr>
      <w:r w:rsidRPr="00380A98">
        <w:rPr>
          <w:rFonts w:ascii="Arial" w:hAnsi="Arial" w:cs="Arial"/>
        </w:rPr>
        <w:t xml:space="preserve">Stečajni upravitelj navodi da </w:t>
      </w:r>
      <w:r>
        <w:rPr>
          <w:rFonts w:ascii="Arial" w:hAnsi="Arial" w:cs="Arial"/>
        </w:rPr>
        <w:t xml:space="preserve">su troškovi stečajnog postupka </w:t>
      </w:r>
      <w:r w:rsidR="000F1525">
        <w:rPr>
          <w:rFonts w:ascii="Arial" w:hAnsi="Arial" w:cs="Arial"/>
        </w:rPr>
        <w:t xml:space="preserve">obračunati na bazi šest mjeseci vođenja postupka za iznos od </w:t>
      </w:r>
      <w:r w:rsidR="00C76F26">
        <w:rPr>
          <w:rFonts w:ascii="Arial" w:hAnsi="Arial" w:cs="Arial"/>
        </w:rPr>
        <w:t>18.260,00</w:t>
      </w:r>
      <w:r>
        <w:rPr>
          <w:rFonts w:ascii="Arial" w:hAnsi="Arial" w:cs="Arial"/>
        </w:rPr>
        <w:t xml:space="preserve"> kuna, </w:t>
      </w:r>
      <w:r w:rsidR="000F1525">
        <w:rPr>
          <w:rFonts w:ascii="Arial" w:hAnsi="Arial" w:cs="Arial"/>
        </w:rPr>
        <w:t>a prema predračunu koji se nalazi u spisu.</w:t>
      </w:r>
    </w:p>
    <w:p w:rsidR="000F1525" w:rsidP="00EF4F77" w:rsidRDefault="000F1525">
      <w:pPr>
        <w:tabs>
          <w:tab w:val="left" w:pos="960"/>
        </w:tabs>
        <w:jc w:val="both"/>
        <w:rPr>
          <w:rFonts w:ascii="Arial" w:hAnsi="Arial" w:cs="Arial"/>
        </w:rPr>
      </w:pPr>
    </w:p>
    <w:p w:rsidR="000F1525" w:rsidP="00EF4F77" w:rsidRDefault="000F1525">
      <w:pPr>
        <w:tabs>
          <w:tab w:val="left" w:pos="960"/>
        </w:tabs>
        <w:jc w:val="both"/>
        <w:rPr>
          <w:rFonts w:ascii="Arial" w:hAnsi="Arial" w:cs="Arial"/>
        </w:rPr>
      </w:pPr>
      <w:r>
        <w:rPr>
          <w:rFonts w:ascii="Arial" w:hAnsi="Arial" w:cs="Arial"/>
        </w:rPr>
        <w:t>Vjerovnici su suglasni s predloženim predračunom troškova stečajnog postupka.</w:t>
      </w:r>
    </w:p>
    <w:p w:rsidR="00EF4F77" w:rsidP="00EF4F77" w:rsidRDefault="00EF4F77">
      <w:pPr>
        <w:tabs>
          <w:tab w:val="left" w:pos="960"/>
        </w:tabs>
        <w:jc w:val="both"/>
        <w:rPr>
          <w:rFonts w:ascii="Arial" w:hAnsi="Arial" w:cs="Arial"/>
        </w:rPr>
      </w:pPr>
    </w:p>
    <w:p w:rsidRPr="00380A98" w:rsidR="00F63BB4" w:rsidP="00F63BB4" w:rsidRDefault="00F63BB4">
      <w:pPr>
        <w:tabs>
          <w:tab w:val="left" w:pos="960"/>
        </w:tabs>
        <w:jc w:val="both"/>
        <w:rPr>
          <w:rFonts w:ascii="Arial" w:hAnsi="Arial" w:cs="Arial"/>
        </w:rPr>
      </w:pPr>
      <w:r w:rsidRPr="00380A98">
        <w:rPr>
          <w:rFonts w:ascii="Arial" w:hAnsi="Arial" w:cs="Arial"/>
        </w:rPr>
        <w:t>Ad 3)</w:t>
      </w:r>
    </w:p>
    <w:p w:rsidR="00F63BB4" w:rsidP="00EF4F77" w:rsidRDefault="00F63BB4">
      <w:pPr>
        <w:tabs>
          <w:tab w:val="left" w:pos="960"/>
        </w:tabs>
        <w:jc w:val="both"/>
        <w:rPr>
          <w:rFonts w:ascii="Arial" w:hAnsi="Arial" w:cs="Arial"/>
        </w:rPr>
      </w:pPr>
    </w:p>
    <w:p w:rsidR="00C76F26" w:rsidP="00F63BB4" w:rsidRDefault="00F63BB4">
      <w:pPr>
        <w:tabs>
          <w:tab w:val="left" w:pos="960"/>
        </w:tabs>
        <w:jc w:val="both"/>
        <w:rPr>
          <w:rFonts w:ascii="Arial" w:hAnsi="Arial" w:cs="Arial"/>
        </w:rPr>
      </w:pPr>
      <w:r w:rsidRPr="00380A98">
        <w:rPr>
          <w:rFonts w:ascii="Arial" w:hAnsi="Arial" w:cs="Arial"/>
        </w:rPr>
        <w:t>Stečajn</w:t>
      </w:r>
      <w:r>
        <w:rPr>
          <w:rFonts w:ascii="Arial" w:hAnsi="Arial" w:cs="Arial"/>
        </w:rPr>
        <w:t>i</w:t>
      </w:r>
      <w:r w:rsidRPr="00380A98">
        <w:rPr>
          <w:rFonts w:ascii="Arial" w:hAnsi="Arial" w:cs="Arial"/>
        </w:rPr>
        <w:t xml:space="preserve"> upravitelj navodi da nema uvjeta za nastavak poslovanja</w:t>
      </w:r>
      <w:r w:rsidR="000F1525">
        <w:rPr>
          <w:rFonts w:ascii="Arial" w:hAnsi="Arial" w:cs="Arial"/>
        </w:rPr>
        <w:t>, pa predlaže da se imovina dužnika unovči.</w:t>
      </w:r>
    </w:p>
    <w:p w:rsidR="000F1525" w:rsidP="00F63BB4" w:rsidRDefault="000F1525">
      <w:pPr>
        <w:tabs>
          <w:tab w:val="left" w:pos="960"/>
        </w:tabs>
        <w:jc w:val="both"/>
        <w:rPr>
          <w:rFonts w:ascii="Arial" w:hAnsi="Arial" w:cs="Arial"/>
        </w:rPr>
      </w:pPr>
    </w:p>
    <w:p w:rsidR="000F1525" w:rsidP="00F63BB4" w:rsidRDefault="000F1525">
      <w:pPr>
        <w:tabs>
          <w:tab w:val="left" w:pos="960"/>
        </w:tabs>
        <w:jc w:val="both"/>
        <w:rPr>
          <w:rFonts w:ascii="Arial" w:hAnsi="Arial" w:cs="Arial"/>
        </w:rPr>
      </w:pPr>
      <w:r>
        <w:rPr>
          <w:rFonts w:ascii="Arial" w:hAnsi="Arial" w:cs="Arial"/>
        </w:rPr>
        <w:t>Nazočni vjerovnici su suglasni s prijedlogom stečajnog upravitelja da se imovina dužnika unovči.</w:t>
      </w:r>
    </w:p>
    <w:p w:rsidR="00C76F26" w:rsidP="00F63BB4" w:rsidRDefault="00C76F26">
      <w:pPr>
        <w:tabs>
          <w:tab w:val="left" w:pos="960"/>
        </w:tabs>
        <w:jc w:val="both"/>
        <w:rPr>
          <w:rFonts w:ascii="Arial" w:hAnsi="Arial" w:cs="Arial"/>
        </w:rPr>
      </w:pPr>
    </w:p>
    <w:p w:rsidR="00F63BB4" w:rsidP="00F63BB4" w:rsidRDefault="000F1525">
      <w:pPr>
        <w:tabs>
          <w:tab w:val="left" w:pos="960"/>
        </w:tabs>
        <w:jc w:val="both"/>
        <w:rPr>
          <w:rFonts w:ascii="Arial" w:hAnsi="Arial" w:cs="Arial"/>
        </w:rPr>
      </w:pPr>
      <w:r>
        <w:rPr>
          <w:rFonts w:ascii="Arial" w:hAnsi="Arial" w:cs="Arial"/>
        </w:rPr>
        <w:t>Ad 4)</w:t>
      </w:r>
    </w:p>
    <w:p w:rsidR="000F1525" w:rsidP="00F63BB4" w:rsidRDefault="000F1525">
      <w:pPr>
        <w:tabs>
          <w:tab w:val="left" w:pos="960"/>
        </w:tabs>
        <w:jc w:val="both"/>
        <w:rPr>
          <w:rFonts w:ascii="Arial" w:hAnsi="Arial" w:cs="Arial"/>
        </w:rPr>
      </w:pPr>
    </w:p>
    <w:p w:rsidR="000F1525" w:rsidP="00F63BB4" w:rsidRDefault="000F1525">
      <w:pPr>
        <w:tabs>
          <w:tab w:val="left" w:pos="960"/>
        </w:tabs>
        <w:jc w:val="both"/>
        <w:rPr>
          <w:rFonts w:ascii="Arial" w:hAnsi="Arial" w:cs="Arial"/>
        </w:rPr>
      </w:pPr>
      <w:r>
        <w:rPr>
          <w:rFonts w:ascii="Arial" w:hAnsi="Arial" w:cs="Arial"/>
        </w:rPr>
        <w:t>Stečajni upravitelj dalje predlaže da se poslovni prostori koji su u zakupu i dalje iznajmljuju. Do danas nije uspio doći do primjerka ugovora jer zastupnik po zakonu dužnika opstruira suradnju. Predlaže da se ugovori produže ukoliko iz teksta istih, kad dođe u njihov posjed ne bi proizlazile neke otegotne okolnosti za dužnika, a da se produže na ugovorene iznose koji su oko 3.000,00 do 4.000,00 eura za oba posjeda, a koju činjenicu je saznao  od zakupoprimca. Pretpostavlja da je stečajni dužnik sklopio ugovor o zakupu s jednom od povezanih društava, a da je onda to povezano društvo dalo u podzakup prostore sadašnjim zakupoprimcima. Ukoliko utvrditi da je tome tako predlaže da ga skupština ovlasti da te ugovore o zakupu sa povezanim društvima raskine te da sklopi ugovore sa sadašnjim zakupoprimcima koje je prije naveo.</w:t>
      </w:r>
    </w:p>
    <w:p w:rsidR="000F1525" w:rsidP="00F63BB4" w:rsidRDefault="000F1525">
      <w:pPr>
        <w:tabs>
          <w:tab w:val="left" w:pos="960"/>
        </w:tabs>
        <w:jc w:val="both"/>
        <w:rPr>
          <w:rFonts w:ascii="Arial" w:hAnsi="Arial" w:cs="Arial"/>
        </w:rPr>
      </w:pPr>
    </w:p>
    <w:p w:rsidR="000F1525" w:rsidP="00F63BB4" w:rsidRDefault="000F1525">
      <w:pPr>
        <w:tabs>
          <w:tab w:val="left" w:pos="960"/>
        </w:tabs>
        <w:jc w:val="both"/>
        <w:rPr>
          <w:rFonts w:ascii="Arial" w:hAnsi="Arial" w:cs="Arial"/>
        </w:rPr>
      </w:pPr>
      <w:r>
        <w:rPr>
          <w:rFonts w:ascii="Arial" w:hAnsi="Arial" w:cs="Arial"/>
        </w:rPr>
        <w:t>Vjerovnici su suglasni s prijedlogom stečajnog upravitelja da se ugovori o zakupu održe na snazi odnosno da se prethodno raskinu ugovori s povezanim društvom i sklope ugovori o zakupu neposredno sa sadašnjim zakupoprimcima po istim uvjetima.</w:t>
      </w:r>
    </w:p>
    <w:p w:rsidR="00F63BB4" w:rsidP="00EF4F77" w:rsidRDefault="00F63BB4">
      <w:pPr>
        <w:tabs>
          <w:tab w:val="left" w:pos="960"/>
        </w:tabs>
        <w:jc w:val="both"/>
        <w:rPr>
          <w:rFonts w:ascii="Arial" w:hAnsi="Arial" w:cs="Arial"/>
        </w:rPr>
      </w:pPr>
    </w:p>
    <w:p w:rsidR="000F1525" w:rsidP="00EF4F77" w:rsidRDefault="000F1525">
      <w:pPr>
        <w:tabs>
          <w:tab w:val="left" w:pos="960"/>
        </w:tabs>
        <w:jc w:val="both"/>
        <w:rPr>
          <w:rFonts w:ascii="Arial" w:hAnsi="Arial" w:cs="Arial"/>
        </w:rPr>
      </w:pPr>
      <w:r>
        <w:rPr>
          <w:rFonts w:ascii="Arial" w:hAnsi="Arial" w:cs="Arial"/>
        </w:rPr>
        <w:t>Ad 5)</w:t>
      </w:r>
    </w:p>
    <w:p w:rsidR="000F1525" w:rsidP="00EF4F77" w:rsidRDefault="000F1525">
      <w:pPr>
        <w:tabs>
          <w:tab w:val="left" w:pos="960"/>
        </w:tabs>
        <w:jc w:val="both"/>
        <w:rPr>
          <w:rFonts w:ascii="Arial" w:hAnsi="Arial" w:cs="Arial"/>
        </w:rPr>
      </w:pPr>
    </w:p>
    <w:p w:rsidR="000F1525" w:rsidP="00EF4F77" w:rsidRDefault="000F1525">
      <w:pPr>
        <w:tabs>
          <w:tab w:val="left" w:pos="960"/>
        </w:tabs>
        <w:jc w:val="both"/>
        <w:rPr>
          <w:rFonts w:ascii="Arial" w:hAnsi="Arial" w:cs="Arial"/>
        </w:rPr>
      </w:pPr>
      <w:r>
        <w:rPr>
          <w:rFonts w:ascii="Arial" w:hAnsi="Arial" w:cs="Arial"/>
        </w:rPr>
        <w:t>Stečajni upravitelj dalje navodi da, a obzirom na činjenicu</w:t>
      </w:r>
      <w:r w:rsidR="00CE6BA5">
        <w:rPr>
          <w:rFonts w:ascii="Arial" w:hAnsi="Arial" w:cs="Arial"/>
        </w:rPr>
        <w:t xml:space="preserve"> da se zakupnine ne plaća steč</w:t>
      </w:r>
      <w:r>
        <w:rPr>
          <w:rFonts w:ascii="Arial" w:hAnsi="Arial" w:cs="Arial"/>
        </w:rPr>
        <w:t>a</w:t>
      </w:r>
      <w:r w:rsidR="00CE6BA5">
        <w:rPr>
          <w:rFonts w:ascii="Arial" w:hAnsi="Arial" w:cs="Arial"/>
        </w:rPr>
        <w:t>j</w:t>
      </w:r>
      <w:r>
        <w:rPr>
          <w:rFonts w:ascii="Arial" w:hAnsi="Arial" w:cs="Arial"/>
        </w:rPr>
        <w:t>n</w:t>
      </w:r>
      <w:r w:rsidR="00CE6BA5">
        <w:rPr>
          <w:rFonts w:ascii="Arial" w:hAnsi="Arial" w:cs="Arial"/>
        </w:rPr>
        <w:t>o</w:t>
      </w:r>
      <w:r>
        <w:rPr>
          <w:rFonts w:ascii="Arial" w:hAnsi="Arial" w:cs="Arial"/>
        </w:rPr>
        <w:t>m dužniku, vjerojatno postoji potraživanje stečajnog dužnika prem</w:t>
      </w:r>
      <w:r w:rsidR="00CE6BA5">
        <w:rPr>
          <w:rFonts w:ascii="Arial" w:hAnsi="Arial" w:cs="Arial"/>
        </w:rPr>
        <w:t>a zakupcu koji je vjerojatno je</w:t>
      </w:r>
      <w:r>
        <w:rPr>
          <w:rFonts w:ascii="Arial" w:hAnsi="Arial" w:cs="Arial"/>
        </w:rPr>
        <w:t>d</w:t>
      </w:r>
      <w:r w:rsidR="00CE6BA5">
        <w:rPr>
          <w:rFonts w:ascii="Arial" w:hAnsi="Arial" w:cs="Arial"/>
        </w:rPr>
        <w:t>n</w:t>
      </w:r>
      <w:r>
        <w:rPr>
          <w:rFonts w:ascii="Arial" w:hAnsi="Arial" w:cs="Arial"/>
        </w:rPr>
        <w:t>o od povezanih društava</w:t>
      </w:r>
      <w:r w:rsidR="00CE6BA5">
        <w:rPr>
          <w:rFonts w:ascii="Arial" w:hAnsi="Arial" w:cs="Arial"/>
        </w:rPr>
        <w:t>, a temeljem rješenja o otvaranju stečajnog postupka zakupnina nije plaćena pa predlaže da ukoliko na daljnji poziv stečajnog upravitelja ne bude plaćena, skupština ovlasti stečajnog upravitelja da pokrene postupke radi naplate zakupnine.</w:t>
      </w:r>
    </w:p>
    <w:p w:rsidR="00CE6BA5" w:rsidP="00EF4F77" w:rsidRDefault="00CE6BA5">
      <w:pPr>
        <w:tabs>
          <w:tab w:val="left" w:pos="960"/>
        </w:tabs>
        <w:jc w:val="both"/>
        <w:rPr>
          <w:rFonts w:ascii="Arial" w:hAnsi="Arial" w:cs="Arial"/>
        </w:rPr>
      </w:pPr>
    </w:p>
    <w:p w:rsidR="00CE6BA5" w:rsidP="00EF4F77" w:rsidRDefault="00CE6BA5">
      <w:pPr>
        <w:tabs>
          <w:tab w:val="left" w:pos="960"/>
        </w:tabs>
        <w:jc w:val="both"/>
        <w:rPr>
          <w:rFonts w:ascii="Arial" w:hAnsi="Arial" w:cs="Arial"/>
        </w:rPr>
      </w:pPr>
      <w:r>
        <w:rPr>
          <w:rFonts w:ascii="Arial" w:hAnsi="Arial" w:cs="Arial"/>
        </w:rPr>
        <w:t>Nazočni vjerovnici su suglasni s prijedlogom stečajnog upravitelja da se pokretnu sudski postupci radi naplate zakupnine.</w:t>
      </w:r>
    </w:p>
    <w:p w:rsidR="00CE6BA5" w:rsidP="00EF4F77" w:rsidRDefault="00CE6BA5">
      <w:pPr>
        <w:tabs>
          <w:tab w:val="left" w:pos="960"/>
        </w:tabs>
        <w:jc w:val="both"/>
        <w:rPr>
          <w:rFonts w:ascii="Arial" w:hAnsi="Arial" w:cs="Arial"/>
        </w:rPr>
      </w:pPr>
    </w:p>
    <w:p w:rsidR="00CE6BA5" w:rsidP="00EF4F77" w:rsidRDefault="00CE6BA5">
      <w:pPr>
        <w:tabs>
          <w:tab w:val="left" w:pos="960"/>
        </w:tabs>
        <w:jc w:val="both"/>
        <w:rPr>
          <w:rFonts w:ascii="Arial" w:hAnsi="Arial" w:cs="Arial"/>
        </w:rPr>
      </w:pPr>
      <w:r>
        <w:rPr>
          <w:rFonts w:ascii="Arial" w:hAnsi="Arial" w:cs="Arial"/>
        </w:rPr>
        <w:t>Ad 6)</w:t>
      </w:r>
    </w:p>
    <w:p w:rsidR="00CE6BA5" w:rsidP="00EF4F77" w:rsidRDefault="00CE6BA5">
      <w:pPr>
        <w:tabs>
          <w:tab w:val="left" w:pos="960"/>
        </w:tabs>
        <w:jc w:val="both"/>
        <w:rPr>
          <w:rFonts w:ascii="Arial" w:hAnsi="Arial" w:cs="Arial"/>
        </w:rPr>
      </w:pPr>
    </w:p>
    <w:p w:rsidR="00E73E3E" w:rsidP="00EF4F77" w:rsidRDefault="00CE6BA5">
      <w:pPr>
        <w:tabs>
          <w:tab w:val="left" w:pos="960"/>
        </w:tabs>
        <w:jc w:val="both"/>
        <w:rPr>
          <w:rFonts w:ascii="Arial" w:hAnsi="Arial" w:cs="Arial"/>
        </w:rPr>
      </w:pPr>
      <w:r>
        <w:rPr>
          <w:rFonts w:ascii="Arial" w:hAnsi="Arial" w:cs="Arial"/>
        </w:rPr>
        <w:t>Stečajni upravitelj dalje navodi da dužnik ima potraživanja prema AUTOŠKOLI ZADAR d.o.o. Zadar u iznosu od 7.211.919,18 kuna s osnova naplaćenog jamstva, te predlaže da se pokretne postupak radi naplate tog iznosa.</w:t>
      </w:r>
    </w:p>
    <w:p w:rsidR="00CE6BA5" w:rsidP="00EF4F77" w:rsidRDefault="00CE6BA5">
      <w:pPr>
        <w:tabs>
          <w:tab w:val="left" w:pos="960"/>
        </w:tabs>
        <w:jc w:val="both"/>
        <w:rPr>
          <w:rFonts w:ascii="Arial" w:hAnsi="Arial" w:cs="Arial"/>
        </w:rPr>
      </w:pPr>
      <w:r>
        <w:rPr>
          <w:rFonts w:ascii="Arial" w:hAnsi="Arial" w:cs="Arial"/>
        </w:rPr>
        <w:lastRenderedPageBreak/>
        <w:t>Nazočni vjerovnici suglasni su s prijedlogom stečajnog upravitelja da se pokretne postupak radi naplate iznosa od 7.211.919,18 kuna od AUTOŠKOLE ZADAR d.o.o. Zadar.</w:t>
      </w:r>
    </w:p>
    <w:p w:rsidR="00CE6BA5" w:rsidP="00EF4F77" w:rsidRDefault="00CE6BA5">
      <w:pPr>
        <w:tabs>
          <w:tab w:val="left" w:pos="960"/>
        </w:tabs>
        <w:jc w:val="both"/>
        <w:rPr>
          <w:rFonts w:ascii="Arial" w:hAnsi="Arial" w:cs="Arial"/>
        </w:rPr>
      </w:pPr>
    </w:p>
    <w:p w:rsidR="00CE6BA5" w:rsidP="00EF4F77" w:rsidRDefault="00CE6BA5">
      <w:pPr>
        <w:tabs>
          <w:tab w:val="left" w:pos="960"/>
        </w:tabs>
        <w:jc w:val="both"/>
        <w:rPr>
          <w:rFonts w:ascii="Arial" w:hAnsi="Arial" w:cs="Arial"/>
        </w:rPr>
      </w:pPr>
      <w:r>
        <w:rPr>
          <w:rFonts w:ascii="Arial" w:hAnsi="Arial" w:cs="Arial"/>
        </w:rPr>
        <w:t>Ad 7)</w:t>
      </w:r>
    </w:p>
    <w:p w:rsidR="00CE6BA5" w:rsidP="00EF4F77" w:rsidRDefault="00CE6BA5">
      <w:pPr>
        <w:tabs>
          <w:tab w:val="left" w:pos="960"/>
        </w:tabs>
        <w:jc w:val="both"/>
        <w:rPr>
          <w:rFonts w:ascii="Arial" w:hAnsi="Arial" w:cs="Arial"/>
        </w:rPr>
      </w:pPr>
    </w:p>
    <w:p w:rsidR="00CE6BA5" w:rsidP="00EF4F77" w:rsidRDefault="00CE6BA5">
      <w:pPr>
        <w:tabs>
          <w:tab w:val="left" w:pos="960"/>
        </w:tabs>
        <w:jc w:val="both"/>
        <w:rPr>
          <w:rFonts w:ascii="Arial" w:hAnsi="Arial" w:cs="Arial"/>
        </w:rPr>
      </w:pPr>
      <w:r>
        <w:rPr>
          <w:rFonts w:ascii="Arial" w:hAnsi="Arial" w:cs="Arial"/>
        </w:rPr>
        <w:t>Stečajni upravitelj navodi da je za pokretanje postupaka protiv AUTOŠKOLE ZADAR i  zakupoprimaca neophodno angažirati odvjetnika, ukoliko se potraživanje ne naplate mirnim putem.</w:t>
      </w:r>
    </w:p>
    <w:p w:rsidR="00CE6BA5" w:rsidP="00EF4F77" w:rsidRDefault="00CE6BA5">
      <w:pPr>
        <w:tabs>
          <w:tab w:val="left" w:pos="960"/>
        </w:tabs>
        <w:jc w:val="both"/>
        <w:rPr>
          <w:rFonts w:ascii="Arial" w:hAnsi="Arial" w:cs="Arial"/>
        </w:rPr>
      </w:pPr>
    </w:p>
    <w:p w:rsidR="00CE6BA5" w:rsidP="00EF4F77" w:rsidRDefault="00CE6BA5">
      <w:pPr>
        <w:tabs>
          <w:tab w:val="left" w:pos="960"/>
        </w:tabs>
        <w:jc w:val="both"/>
        <w:rPr>
          <w:rFonts w:ascii="Arial" w:hAnsi="Arial" w:cs="Arial"/>
        </w:rPr>
      </w:pPr>
      <w:r>
        <w:rPr>
          <w:rFonts w:ascii="Arial" w:hAnsi="Arial" w:cs="Arial"/>
        </w:rPr>
        <w:t>Nazočni vjerovnici su suglasni s prijedlogom stečajnog upravitelja da se angažira odvjetnik za pokretanje postupaka.</w:t>
      </w:r>
    </w:p>
    <w:p w:rsidR="000F1525" w:rsidP="00EF4F77" w:rsidRDefault="000F1525">
      <w:pPr>
        <w:tabs>
          <w:tab w:val="left" w:pos="960"/>
        </w:tabs>
        <w:jc w:val="both"/>
        <w:rPr>
          <w:rFonts w:ascii="Arial" w:hAnsi="Arial" w:cs="Arial"/>
        </w:rPr>
      </w:pPr>
    </w:p>
    <w:p w:rsidRPr="00380A98" w:rsidR="00EF4F77" w:rsidP="00EF4F77" w:rsidRDefault="00EF4F77">
      <w:pPr>
        <w:tabs>
          <w:tab w:val="left" w:pos="960"/>
        </w:tabs>
        <w:jc w:val="both"/>
        <w:rPr>
          <w:rFonts w:ascii="Arial" w:hAnsi="Arial" w:cs="Arial"/>
        </w:rPr>
      </w:pPr>
      <w:r w:rsidRPr="00380A98">
        <w:rPr>
          <w:rFonts w:ascii="Arial" w:hAnsi="Arial" w:cs="Arial"/>
        </w:rPr>
        <w:t>Sud utvrđuje da su na skupštini vjerovnika donijete slijedeće odluke</w:t>
      </w:r>
    </w:p>
    <w:p w:rsidRPr="00380A98" w:rsidR="00EF4F77" w:rsidP="00EF4F77" w:rsidRDefault="00EF4F77">
      <w:pPr>
        <w:tabs>
          <w:tab w:val="left" w:pos="960"/>
        </w:tabs>
        <w:jc w:val="both"/>
        <w:rPr>
          <w:rFonts w:ascii="Arial" w:hAnsi="Arial" w:cs="Arial"/>
        </w:rPr>
      </w:pPr>
    </w:p>
    <w:p w:rsidR="00EF4F77" w:rsidP="00EF4F77" w:rsidRDefault="00EF4F77">
      <w:pPr>
        <w:numPr>
          <w:ilvl w:val="0"/>
          <w:numId w:val="1"/>
        </w:numPr>
        <w:tabs>
          <w:tab w:val="left" w:pos="960"/>
        </w:tabs>
        <w:jc w:val="both"/>
        <w:rPr>
          <w:rFonts w:ascii="Arial" w:hAnsi="Arial" w:cs="Arial"/>
        </w:rPr>
      </w:pPr>
      <w:r w:rsidRPr="00380A98">
        <w:rPr>
          <w:rFonts w:ascii="Arial" w:hAnsi="Arial" w:cs="Arial"/>
        </w:rPr>
        <w:t>Prihvaća se</w:t>
      </w:r>
      <w:r>
        <w:rPr>
          <w:rFonts w:ascii="Arial" w:hAnsi="Arial" w:cs="Arial"/>
        </w:rPr>
        <w:t xml:space="preserve"> izvješće stečajnog upravitelja.</w:t>
      </w:r>
    </w:p>
    <w:p w:rsidR="00CE6BA5" w:rsidP="00EF4F77" w:rsidRDefault="00CE6BA5">
      <w:pPr>
        <w:numPr>
          <w:ilvl w:val="0"/>
          <w:numId w:val="1"/>
        </w:numPr>
        <w:tabs>
          <w:tab w:val="left" w:pos="960"/>
        </w:tabs>
        <w:jc w:val="both"/>
        <w:rPr>
          <w:rFonts w:ascii="Arial" w:hAnsi="Arial" w:cs="Arial"/>
        </w:rPr>
      </w:pPr>
      <w:r>
        <w:rPr>
          <w:rFonts w:ascii="Arial" w:hAnsi="Arial" w:cs="Arial"/>
        </w:rPr>
        <w:t>Prihvaća se predračun stečajnog upravitelja za 6 mjeseci u iznosu od 18.260,00 kuna.</w:t>
      </w:r>
    </w:p>
    <w:p w:rsidR="00CE6BA5" w:rsidP="00EF4F77" w:rsidRDefault="00CE6BA5">
      <w:pPr>
        <w:numPr>
          <w:ilvl w:val="0"/>
          <w:numId w:val="1"/>
        </w:numPr>
        <w:tabs>
          <w:tab w:val="left" w:pos="960"/>
        </w:tabs>
        <w:jc w:val="both"/>
        <w:rPr>
          <w:rFonts w:ascii="Arial" w:hAnsi="Arial" w:cs="Arial"/>
        </w:rPr>
      </w:pPr>
      <w:r>
        <w:rPr>
          <w:rFonts w:ascii="Arial" w:hAnsi="Arial" w:cs="Arial"/>
        </w:rPr>
        <w:t>Imovina stečajnog dužnika će se unovčiti i to nekretnine.</w:t>
      </w:r>
    </w:p>
    <w:p w:rsidR="00CE6BA5" w:rsidP="00EF4F77" w:rsidRDefault="00CE6BA5">
      <w:pPr>
        <w:numPr>
          <w:ilvl w:val="0"/>
          <w:numId w:val="1"/>
        </w:numPr>
        <w:tabs>
          <w:tab w:val="left" w:pos="960"/>
        </w:tabs>
        <w:jc w:val="both"/>
        <w:rPr>
          <w:rFonts w:ascii="Arial" w:hAnsi="Arial" w:cs="Arial"/>
        </w:rPr>
      </w:pPr>
      <w:r>
        <w:rPr>
          <w:rFonts w:ascii="Arial" w:hAnsi="Arial" w:cs="Arial"/>
        </w:rPr>
        <w:t>Ugovori o zakupu održati će se na snazi, a ukoliko se utvrdi da je riječ o ugovoru o zakupu sa povezanim društvom koje je potom sklopilo ugovore o podzakupu sa sadašnjim zakupoprimcima, raskinuti će se ugovori o zakupu s povezanim društvom i sklopiti ugovori o zakupu neposredno sa sadašnjim zakupoprimcima po istim uvjetima.</w:t>
      </w:r>
    </w:p>
    <w:p w:rsidR="00CE6BA5" w:rsidP="00EF4F77" w:rsidRDefault="00CE6BA5">
      <w:pPr>
        <w:numPr>
          <w:ilvl w:val="0"/>
          <w:numId w:val="1"/>
        </w:numPr>
        <w:tabs>
          <w:tab w:val="left" w:pos="960"/>
        </w:tabs>
        <w:jc w:val="both"/>
        <w:rPr>
          <w:rFonts w:ascii="Arial" w:hAnsi="Arial" w:cs="Arial"/>
        </w:rPr>
      </w:pPr>
      <w:r>
        <w:rPr>
          <w:rFonts w:ascii="Arial" w:hAnsi="Arial" w:cs="Arial"/>
        </w:rPr>
        <w:t>Ukoliko su sklopljeni ugovori o zakupu sa povezanim društvima ovlašćuje se stečajni upravitelj, ukoliko mirnim putem ne uspije naplatiti potraživanja iz tog odnosa, da pokrene sudske postupke.</w:t>
      </w:r>
    </w:p>
    <w:p w:rsidRPr="00E73E3E" w:rsidR="00E73E3E" w:rsidP="00E73E3E" w:rsidRDefault="00E73E3E">
      <w:pPr>
        <w:pStyle w:val="Odlomakpopisa"/>
        <w:numPr>
          <w:ilvl w:val="0"/>
          <w:numId w:val="1"/>
        </w:numPr>
        <w:tabs>
          <w:tab w:val="left" w:pos="960"/>
        </w:tabs>
        <w:jc w:val="both"/>
        <w:rPr>
          <w:rFonts w:ascii="Arial" w:hAnsi="Arial" w:cs="Arial"/>
        </w:rPr>
      </w:pPr>
      <w:r>
        <w:rPr>
          <w:rFonts w:ascii="Arial" w:hAnsi="Arial" w:cs="Arial"/>
        </w:rPr>
        <w:t>Ovlašćuje se stečajni upravitelj pokre</w:t>
      </w:r>
      <w:r w:rsidRPr="00E73E3E">
        <w:rPr>
          <w:rFonts w:ascii="Arial" w:hAnsi="Arial" w:cs="Arial"/>
        </w:rPr>
        <w:t>n</w:t>
      </w:r>
      <w:r>
        <w:rPr>
          <w:rFonts w:ascii="Arial" w:hAnsi="Arial" w:cs="Arial"/>
        </w:rPr>
        <w:t>uti sudski</w:t>
      </w:r>
      <w:r w:rsidRPr="00E73E3E">
        <w:rPr>
          <w:rFonts w:ascii="Arial" w:hAnsi="Arial" w:cs="Arial"/>
        </w:rPr>
        <w:t xml:space="preserve"> postupak radi naplate iznosa od 7.211.919,18 kuna od AUTOŠKOLE ZADAR d.o.o. Zadar.</w:t>
      </w:r>
    </w:p>
    <w:p w:rsidRPr="00E73E3E" w:rsidR="00E73E3E" w:rsidP="00E73E3E" w:rsidRDefault="00E73E3E">
      <w:pPr>
        <w:pStyle w:val="Odlomakpopisa"/>
        <w:numPr>
          <w:ilvl w:val="0"/>
          <w:numId w:val="1"/>
        </w:numPr>
        <w:tabs>
          <w:tab w:val="left" w:pos="960"/>
        </w:tabs>
        <w:jc w:val="both"/>
        <w:rPr>
          <w:rFonts w:ascii="Arial" w:hAnsi="Arial" w:cs="Arial"/>
        </w:rPr>
      </w:pPr>
      <w:r>
        <w:rPr>
          <w:rFonts w:ascii="Arial" w:hAnsi="Arial" w:cs="Arial"/>
        </w:rPr>
        <w:t xml:space="preserve">Odobrava se stečajnom </w:t>
      </w:r>
      <w:r w:rsidRPr="00E73E3E">
        <w:rPr>
          <w:rFonts w:ascii="Arial" w:hAnsi="Arial" w:cs="Arial"/>
        </w:rPr>
        <w:t>upravitelj</w:t>
      </w:r>
      <w:r>
        <w:rPr>
          <w:rFonts w:ascii="Arial" w:hAnsi="Arial" w:cs="Arial"/>
        </w:rPr>
        <w:t>u</w:t>
      </w:r>
      <w:r w:rsidRPr="00E73E3E">
        <w:rPr>
          <w:rFonts w:ascii="Arial" w:hAnsi="Arial" w:cs="Arial"/>
        </w:rPr>
        <w:t xml:space="preserve"> angažira</w:t>
      </w:r>
      <w:r>
        <w:rPr>
          <w:rFonts w:ascii="Arial" w:hAnsi="Arial" w:cs="Arial"/>
        </w:rPr>
        <w:t>nje</w:t>
      </w:r>
      <w:r w:rsidRPr="00E73E3E">
        <w:rPr>
          <w:rFonts w:ascii="Arial" w:hAnsi="Arial" w:cs="Arial"/>
        </w:rPr>
        <w:t xml:space="preserve"> odvjetnik</w:t>
      </w:r>
      <w:r>
        <w:rPr>
          <w:rFonts w:ascii="Arial" w:hAnsi="Arial" w:cs="Arial"/>
        </w:rPr>
        <w:t>a</w:t>
      </w:r>
      <w:r w:rsidRPr="00E73E3E">
        <w:rPr>
          <w:rFonts w:ascii="Arial" w:hAnsi="Arial" w:cs="Arial"/>
        </w:rPr>
        <w:t xml:space="preserve"> za pokretanje</w:t>
      </w:r>
      <w:r>
        <w:rPr>
          <w:rFonts w:ascii="Arial" w:hAnsi="Arial" w:cs="Arial"/>
        </w:rPr>
        <w:t xml:space="preserve"> sudskih </w:t>
      </w:r>
      <w:r w:rsidRPr="00E73E3E">
        <w:rPr>
          <w:rFonts w:ascii="Arial" w:hAnsi="Arial" w:cs="Arial"/>
        </w:rPr>
        <w:t xml:space="preserve"> postupaka</w:t>
      </w:r>
      <w:r>
        <w:rPr>
          <w:rFonts w:ascii="Arial" w:hAnsi="Arial" w:cs="Arial"/>
        </w:rPr>
        <w:t xml:space="preserve"> iz točke 5. i 6. ovih odluka</w:t>
      </w:r>
      <w:r w:rsidRPr="00E73E3E">
        <w:rPr>
          <w:rFonts w:ascii="Arial" w:hAnsi="Arial" w:cs="Arial"/>
        </w:rPr>
        <w:t>.</w:t>
      </w:r>
    </w:p>
    <w:p w:rsidR="00EF4F77" w:rsidP="00EF4F77" w:rsidRDefault="00EF4F77">
      <w:pPr>
        <w:tabs>
          <w:tab w:val="left" w:pos="960"/>
        </w:tabs>
        <w:jc w:val="both"/>
        <w:rPr>
          <w:rFonts w:ascii="Arial" w:hAnsi="Arial" w:cs="Arial"/>
        </w:rPr>
      </w:pPr>
    </w:p>
    <w:p w:rsidRPr="00380A98" w:rsidR="00EF4F77" w:rsidP="00EF4F77" w:rsidRDefault="00EF4F77">
      <w:pPr>
        <w:tabs>
          <w:tab w:val="left" w:pos="960"/>
        </w:tabs>
        <w:jc w:val="both"/>
        <w:rPr>
          <w:rFonts w:ascii="Arial" w:hAnsi="Arial" w:cs="Arial"/>
        </w:rPr>
      </w:pPr>
      <w:r w:rsidRPr="00380A98">
        <w:rPr>
          <w:rFonts w:ascii="Arial" w:hAnsi="Arial" w:cs="Arial"/>
        </w:rPr>
        <w:t xml:space="preserve">Izvještajno ročište dovršeno. </w:t>
      </w:r>
    </w:p>
    <w:p w:rsidRPr="00380A98" w:rsidR="00EF4F77" w:rsidP="00EF4F77" w:rsidRDefault="00EF4F77">
      <w:pPr>
        <w:tabs>
          <w:tab w:val="left" w:pos="0"/>
          <w:tab w:val="left" w:pos="360"/>
        </w:tabs>
        <w:rPr>
          <w:rFonts w:ascii="Arial" w:hAnsi="Arial" w:cs="Arial"/>
        </w:rPr>
      </w:pPr>
    </w:p>
    <w:p w:rsidRPr="00380A98" w:rsidR="00EF4F77" w:rsidP="00EF4F77" w:rsidRDefault="00EF4F77">
      <w:pPr>
        <w:tabs>
          <w:tab w:val="left" w:pos="0"/>
          <w:tab w:val="left" w:pos="360"/>
        </w:tabs>
        <w:rPr>
          <w:rFonts w:ascii="Arial" w:hAnsi="Arial" w:cs="Arial"/>
        </w:rPr>
      </w:pPr>
      <w:r w:rsidRPr="00380A98">
        <w:rPr>
          <w:rFonts w:ascii="Arial" w:hAnsi="Arial" w:cs="Arial"/>
        </w:rPr>
        <w:t xml:space="preserve">Dovršeno u </w:t>
      </w:r>
      <w:r w:rsidR="00E73E3E">
        <w:rPr>
          <w:rFonts w:ascii="Arial" w:hAnsi="Arial" w:cs="Arial"/>
        </w:rPr>
        <w:t>8,55</w:t>
      </w:r>
      <w:r w:rsidRPr="00380A98">
        <w:rPr>
          <w:rFonts w:ascii="Arial" w:hAnsi="Arial" w:cs="Arial"/>
        </w:rPr>
        <w:t xml:space="preserve"> sati.</w:t>
      </w:r>
    </w:p>
    <w:p w:rsidRPr="00380A98" w:rsidR="00EF4F77" w:rsidP="00EF4F77" w:rsidRDefault="00EF4F77">
      <w:pPr>
        <w:tabs>
          <w:tab w:val="left" w:pos="0"/>
          <w:tab w:val="left" w:pos="360"/>
        </w:tabs>
        <w:jc w:val="both"/>
        <w:rPr>
          <w:rFonts w:ascii="Arial" w:hAnsi="Arial" w:cs="Arial"/>
        </w:rPr>
      </w:pPr>
    </w:p>
    <w:p w:rsidRPr="00380A98" w:rsidR="00EF4F77" w:rsidP="00EF4F77" w:rsidRDefault="00EF4F77">
      <w:pPr>
        <w:tabs>
          <w:tab w:val="left" w:pos="0"/>
          <w:tab w:val="left" w:pos="360"/>
        </w:tabs>
        <w:jc w:val="both"/>
        <w:rPr>
          <w:rFonts w:ascii="Arial" w:hAnsi="Arial" w:cs="Arial"/>
        </w:rPr>
      </w:pPr>
      <w:r w:rsidRPr="00380A98">
        <w:rPr>
          <w:rFonts w:ascii="Arial" w:hAnsi="Arial" w:cs="Arial"/>
        </w:rPr>
        <w:t>ZAPISNIČAR</w:t>
      </w:r>
      <w:r w:rsidRPr="00380A98">
        <w:rPr>
          <w:rFonts w:ascii="Arial" w:hAnsi="Arial" w:cs="Arial"/>
        </w:rPr>
        <w:tab/>
      </w:r>
      <w:r w:rsidRPr="00380A98">
        <w:rPr>
          <w:rFonts w:ascii="Arial" w:hAnsi="Arial" w:cs="Arial"/>
        </w:rPr>
        <w:tab/>
      </w:r>
      <w:r w:rsidRPr="00380A98">
        <w:rPr>
          <w:rFonts w:ascii="Arial" w:hAnsi="Arial" w:cs="Arial"/>
        </w:rPr>
        <w:tab/>
      </w:r>
      <w:r w:rsidRPr="00380A98">
        <w:rPr>
          <w:rFonts w:ascii="Arial" w:hAnsi="Arial" w:cs="Arial"/>
        </w:rPr>
        <w:tab/>
        <w:t xml:space="preserve">SUTKINJA            STEČAJNI UPRAVITELJ </w:t>
      </w:r>
      <w:r w:rsidRPr="00380A98">
        <w:rPr>
          <w:rFonts w:ascii="Arial" w:hAnsi="Arial" w:cs="Arial"/>
        </w:rPr>
        <w:tab/>
      </w:r>
    </w:p>
    <w:p w:rsidRPr="00380A98" w:rsidR="00EF4F77" w:rsidP="00EF4F77" w:rsidRDefault="00EF4F77">
      <w:pPr>
        <w:tabs>
          <w:tab w:val="left" w:pos="0"/>
          <w:tab w:val="left" w:pos="360"/>
        </w:tabs>
        <w:jc w:val="both"/>
        <w:rPr>
          <w:rFonts w:ascii="Arial" w:hAnsi="Arial" w:cs="Arial"/>
        </w:rPr>
      </w:pPr>
    </w:p>
    <w:p w:rsidRPr="00380A98" w:rsidR="00EF4F77" w:rsidP="00EF4F77" w:rsidRDefault="00EF4F77">
      <w:pPr>
        <w:tabs>
          <w:tab w:val="left" w:pos="0"/>
          <w:tab w:val="left" w:pos="360"/>
        </w:tabs>
        <w:jc w:val="both"/>
        <w:rPr>
          <w:rFonts w:ascii="Arial" w:hAnsi="Arial" w:cs="Arial"/>
        </w:rPr>
      </w:pPr>
    </w:p>
    <w:p w:rsidRPr="00380A98" w:rsidR="00EF4F77" w:rsidP="00EF4F77" w:rsidRDefault="00EF4F77">
      <w:pPr>
        <w:tabs>
          <w:tab w:val="left" w:pos="0"/>
          <w:tab w:val="left" w:pos="360"/>
        </w:tabs>
        <w:jc w:val="both"/>
        <w:rPr>
          <w:rFonts w:ascii="Arial" w:hAnsi="Arial" w:cs="Arial"/>
        </w:rPr>
      </w:pPr>
      <w:r w:rsidRPr="00380A98">
        <w:rPr>
          <w:rFonts w:ascii="Arial" w:hAnsi="Arial" w:cs="Arial"/>
        </w:rPr>
        <w:t>VJEROVNICI</w:t>
      </w:r>
    </w:p>
    <w:p w:rsidRPr="00380A98" w:rsidR="00EF4F77" w:rsidP="00EF4F77" w:rsidRDefault="00EF4F77">
      <w:pPr>
        <w:tabs>
          <w:tab w:val="left" w:pos="960"/>
        </w:tabs>
        <w:jc w:val="both"/>
        <w:rPr>
          <w:rFonts w:ascii="Arial" w:hAnsi="Arial" w:cs="Arial"/>
        </w:rPr>
      </w:pPr>
    </w:p>
    <w:p w:rsidRPr="00380A98" w:rsidR="00EF4F77" w:rsidP="00EF4F77" w:rsidRDefault="00EF4F77">
      <w:pPr>
        <w:jc w:val="both"/>
        <w:rPr>
          <w:rFonts w:ascii="Arial" w:hAnsi="Arial" w:cs="Arial"/>
        </w:rPr>
      </w:pPr>
    </w:p>
    <w:p w:rsidRPr="00380A98" w:rsidR="00DB052E" w:rsidP="00EF4F77" w:rsidRDefault="00DB052E">
      <w:pPr>
        <w:ind w:left="360" w:hanging="360"/>
        <w:jc w:val="both"/>
        <w:rPr>
          <w:rFonts w:ascii="Arial" w:hAnsi="Arial" w:cs="Arial"/>
        </w:rPr>
      </w:pPr>
    </w:p>
    <w:sectPr w:rsidRPr="00380A98" w:rsidR="00DB052E" w:rsidSect="00882B0B">
      <w:headerReference w:type="even" r:id="rId9"/>
      <w:headerReference w:type="default" r:id="rId10"/>
      <w:footerReference w:type="even" r:id="rId11"/>
      <w:footerReference w:type="default" r:id="rId12"/>
      <w:headerReference w:type="first" r:id="rId13"/>
      <w:pgSz w:w="11906" w:h="16838"/>
      <w:pgMar w:top="1418" w:right="1021" w:bottom="851"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B11" w:rsidP="00657B11" w:rsidRDefault="00657B11">
      <w:r>
        <w:separator/>
      </w:r>
    </w:p>
  </w:endnote>
  <w:endnote w:type="continuationSeparator" w:id="0">
    <w:p w:rsidR="00657B11" w:rsidP="00657B11" w:rsidRDefault="00657B1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657B11">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P="00F6328A" w:rsidRDefault="00A821C1">
    <w:pPr>
      <w:pStyle w:val="Podnoje"/>
      <w:ind w:right="360"/>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A821C1">
    <w:pPr>
      <w:pStyle w:val="Podnoje"/>
      <w:framePr w:wrap="around" w:hAnchor="margin" w:vAnchor="text" w:xAlign="right" w:y="1"/>
      <w:rPr>
        <w:rStyle w:val="Brojstranice"/>
      </w:rPr>
    </w:pPr>
  </w:p>
  <w:p w:rsidR="001B6783" w:rsidP="005973AD" w:rsidRDefault="00A821C1">
    <w:pPr>
      <w:pStyle w:val="Podnoje"/>
      <w:ind w:right="360"/>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B11" w:rsidP="00657B11" w:rsidRDefault="00657B11">
      <w:r>
        <w:separator/>
      </w:r>
    </w:p>
  </w:footnote>
  <w:footnote w:type="continuationSeparator" w:id="0">
    <w:p w:rsidR="00657B11" w:rsidP="00657B11" w:rsidRDefault="00657B1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RDefault="00A821C1">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F4F77" w:rsidR="00EF4F77" w:rsidP="00EF4F77" w:rsidRDefault="00EF4F77">
    <w:pPr>
      <w:pStyle w:val="Zaglavlje"/>
      <w:tabs>
        <w:tab w:val="clear" w:pos="4536"/>
        <w:tab w:val="clear" w:pos="9072"/>
        <w:tab w:val="center" w:pos="4253"/>
        <w:tab w:val="center" w:pos="4733"/>
        <w:tab w:val="right" w:pos="9467"/>
      </w:tabs>
      <w:ind w:firstLine="3969"/>
      <w:rPr>
        <w:rFonts w:ascii="Arial" w:hAnsi="Arial" w:cs="Arial"/>
      </w:rPr>
    </w:pPr>
    <w:r>
      <w:tab/>
    </w:r>
    <w:r>
      <w:tab/>
    </w:r>
    <w:sdt>
      <w:sdtPr>
        <w:id w:val="-35589036"/>
        <w:docPartObj>
          <w:docPartGallery w:val="Page Numbers (Top of Page)"/>
          <w:docPartUnique/>
        </w:docPartObj>
      </w:sdtPr>
      <w:sdtEndPr>
        <w:rPr>
          <w:rFonts w:ascii="Arial" w:hAnsi="Arial" w:cs="Arial"/>
        </w:rPr>
      </w:sdtEndPr>
      <w:sdtContent>
        <w:r w:rsidRPr="00EF4F77">
          <w:rPr>
            <w:rFonts w:ascii="Arial" w:hAnsi="Arial" w:cs="Arial"/>
          </w:rPr>
          <w:fldChar w:fldCharType="begin"/>
        </w:r>
        <w:r w:rsidRPr="00EF4F77">
          <w:rPr>
            <w:rFonts w:ascii="Arial" w:hAnsi="Arial" w:cs="Arial"/>
          </w:rPr>
          <w:instrText>PAGE   \* MERGEFORMAT</w:instrText>
        </w:r>
        <w:r w:rsidRPr="00EF4F77">
          <w:rPr>
            <w:rFonts w:ascii="Arial" w:hAnsi="Arial" w:cs="Arial"/>
          </w:rPr>
          <w:fldChar w:fldCharType="separate"/>
        </w:r>
        <w:r w:rsidR="00A821C1">
          <w:rPr>
            <w:rFonts w:ascii="Arial" w:hAnsi="Arial" w:cs="Arial"/>
            <w:noProof/>
          </w:rPr>
          <w:t>3</w:t>
        </w:r>
        <w:r w:rsidRPr="00EF4F77">
          <w:rPr>
            <w:rFonts w:ascii="Arial" w:hAnsi="Arial" w:cs="Arial"/>
          </w:rPr>
          <w:fldChar w:fldCharType="end"/>
        </w:r>
      </w:sdtContent>
    </w:sdt>
    <w:r>
      <w:rPr>
        <w:rFonts w:ascii="Arial" w:hAnsi="Arial" w:cs="Arial"/>
      </w:rPr>
      <w:tab/>
    </w:r>
    <w:r w:rsidRPr="00EF4F77">
      <w:rPr>
        <w:rFonts w:ascii="Arial" w:hAnsi="Arial" w:cs="Arial"/>
      </w:rPr>
      <w:t>Posl</w:t>
    </w:r>
    <w:r>
      <w:rPr>
        <w:rFonts w:ascii="Arial" w:hAnsi="Arial" w:cs="Arial"/>
      </w:rPr>
      <w:t>ovni broj:</w:t>
    </w:r>
    <w:r w:rsidRPr="00EF4F77">
      <w:rPr>
        <w:rFonts w:ascii="Arial" w:hAnsi="Arial" w:cs="Arial"/>
      </w:rPr>
      <w:t xml:space="preserve"> 1 St-</w:t>
    </w:r>
    <w:r w:rsidR="00C76F26">
      <w:rPr>
        <w:rFonts w:ascii="Arial" w:hAnsi="Arial" w:cs="Arial"/>
      </w:rPr>
      <w:t>604</w:t>
    </w:r>
    <w:r w:rsidRPr="00EF4F77">
      <w:rPr>
        <w:rFonts w:ascii="Arial" w:hAnsi="Arial" w:cs="Arial"/>
      </w:rPr>
      <w:t>/20</w:t>
    </w:r>
    <w:r w:rsidR="00C76F26">
      <w:rPr>
        <w:rFonts w:ascii="Arial" w:hAnsi="Arial" w:cs="Arial"/>
      </w:rPr>
      <w:t>21</w:t>
    </w:r>
    <w:r w:rsidRPr="00EF4F77">
      <w:rPr>
        <w:rFonts w:ascii="Arial" w:hAnsi="Arial" w:cs="Arial"/>
      </w:rPr>
      <w:t>-</w:t>
    </w:r>
    <w:r w:rsidR="00C76F26">
      <w:rPr>
        <w:rFonts w:ascii="Arial" w:hAnsi="Arial" w:cs="Arial"/>
      </w:rPr>
      <w:t>49</w:t>
    </w:r>
  </w:p>
  <w:p w:rsidR="001B6783" w:rsidP="00D154FA" w:rsidRDefault="00A821C1">
    <w:pPr>
      <w:pStyle w:val="Zaglavlje"/>
      <w:jc w:val="right"/>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657B11" w:rsidP="00657B11" w:rsidRDefault="00657B11">
    <w:pPr>
      <w:pStyle w:val="Zaglavlje"/>
      <w:jc w:val="right"/>
      <w:rPr>
        <w:rFonts w:ascii="Arial" w:hAnsi="Arial" w:cs="Arial"/>
      </w:rPr>
    </w:pPr>
    <w:r w:rsidRPr="00380A98">
      <w:rPr>
        <w:rFonts w:ascii="Arial" w:hAnsi="Arial" w:cs="Arial"/>
      </w:rPr>
      <w:t>1St-</w:t>
    </w:r>
    <w:r w:rsidR="00EF4F77">
      <w:rPr>
        <w:rFonts w:ascii="Arial" w:hAnsi="Arial" w:cs="Arial"/>
      </w:rPr>
      <w:t>604</w:t>
    </w:r>
    <w:r w:rsidRPr="00380A98" w:rsidR="007038D3">
      <w:rPr>
        <w:rFonts w:ascii="Arial" w:hAnsi="Arial" w:cs="Arial"/>
      </w:rPr>
      <w:t>/</w:t>
    </w:r>
    <w:r w:rsidRPr="00380A98" w:rsidR="005347BE">
      <w:rPr>
        <w:rFonts w:ascii="Arial" w:hAnsi="Arial" w:cs="Arial"/>
      </w:rPr>
      <w:t>20</w:t>
    </w:r>
    <w:r w:rsidR="00EF4F77">
      <w:rPr>
        <w:rFonts w:ascii="Arial" w:hAnsi="Arial" w:cs="Arial"/>
      </w:rPr>
      <w:t>21</w:t>
    </w:r>
    <w:r w:rsidRPr="00380A98" w:rsidR="007038D3">
      <w:rPr>
        <w:rFonts w:ascii="Arial" w:hAnsi="Arial" w:cs="Arial"/>
      </w:rPr>
      <w:t>-</w:t>
    </w:r>
    <w:r w:rsidR="00EF4F77">
      <w:rPr>
        <w:rFonts w:ascii="Arial" w:hAnsi="Arial" w:cs="Arial"/>
      </w:rPr>
      <w:t>49</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7A9316C"/>
    <w:multiLevelType w:val="hybridMultilevel"/>
    <w:tmpl w:val="A22CE7A8"/>
    <w:lvl w:ilvl="0" w:tplc="61C4104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F8F447E"/>
    <w:multiLevelType w:val="hybridMultilevel"/>
    <w:tmpl w:val="0DD4DFBA"/>
    <w:lvl w:ilvl="0" w:tplc="DA1AA96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3394D54"/>
    <w:multiLevelType w:val="hybridMultilevel"/>
    <w:tmpl w:val="EC90D950"/>
    <w:lvl w:ilvl="0" w:tplc="04DCB82C">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41510D10"/>
    <w:multiLevelType w:val="hybridMultilevel"/>
    <w:tmpl w:val="08AC19CA"/>
    <w:lvl w:ilvl="0" w:tplc="3BB0448C">
      <w:start w:val="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47F41B9D"/>
    <w:multiLevelType w:val="hybridMultilevel"/>
    <w:tmpl w:val="08BA19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D775DFD"/>
    <w:multiLevelType w:val="hybridMultilevel"/>
    <w:tmpl w:val="BFE66E28"/>
    <w:lvl w:ilvl="0" w:tplc="44607464">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6191910"/>
    <w:multiLevelType w:val="hybridMultilevel"/>
    <w:tmpl w:val="CD08339C"/>
    <w:lvl w:ilvl="0" w:tplc="E144A1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69065C71"/>
    <w:multiLevelType w:val="hybridMultilevel"/>
    <w:tmpl w:val="9DA8DC40"/>
    <w:lvl w:ilvl="0" w:tplc="F948DF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1"/>
  </w:num>
  <w:num w:numId="2">
    <w:abstractNumId w:val="3"/>
  </w:num>
  <w:num w:numId="3">
    <w:abstractNumId w:val="6"/>
  </w:num>
  <w:num w:numId="4">
    <w:abstractNumId w:val="5"/>
  </w:num>
  <w:num w:numId="5">
    <w:abstractNumId w:val="4"/>
  </w:num>
  <w:num w:numId="6">
    <w:abstractNumId w:val="12"/>
  </w:num>
  <w:num w:numId="7">
    <w:abstractNumId w:val="2"/>
  </w:num>
  <w:num w:numId="8">
    <w:abstractNumId w:val="9"/>
  </w:num>
  <w:num w:numId="9">
    <w:abstractNumId w:val="7"/>
  </w:num>
  <w:num w:numId="10">
    <w:abstractNumId w:val="0"/>
  </w:num>
  <w:num w:numId="11">
    <w:abstractNumId w:val="10"/>
  </w:num>
  <w:num w:numId="12">
    <w:abstractNumId w:val="8"/>
  </w:num>
  <w:num w:numId="13">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attachedTemplate r:id="rId1"/>
  <w:defaultTabStop w:val="708"/>
  <w:hyphenationZone w:val="425"/>
  <w:characterSpacingControl w:val="doNotCompress"/>
  <w:hdrShapeDefaults>
    <o:shapedefaults spidmax="3481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11"/>
    <w:rsid w:val="000109C7"/>
    <w:rsid w:val="0001217C"/>
    <w:rsid w:val="00020692"/>
    <w:rsid w:val="00043BE5"/>
    <w:rsid w:val="00045793"/>
    <w:rsid w:val="00054CC2"/>
    <w:rsid w:val="00063729"/>
    <w:rsid w:val="000731B4"/>
    <w:rsid w:val="000A03F1"/>
    <w:rsid w:val="000C28EF"/>
    <w:rsid w:val="000F1525"/>
    <w:rsid w:val="001024AD"/>
    <w:rsid w:val="00124EE6"/>
    <w:rsid w:val="00125AA6"/>
    <w:rsid w:val="00130815"/>
    <w:rsid w:val="00144BC2"/>
    <w:rsid w:val="00145D13"/>
    <w:rsid w:val="001502FB"/>
    <w:rsid w:val="001520A9"/>
    <w:rsid w:val="00162A0A"/>
    <w:rsid w:val="0016674B"/>
    <w:rsid w:val="001761B0"/>
    <w:rsid w:val="001806A7"/>
    <w:rsid w:val="001915B4"/>
    <w:rsid w:val="00197ED6"/>
    <w:rsid w:val="001B0AD2"/>
    <w:rsid w:val="001D3056"/>
    <w:rsid w:val="001F5FDB"/>
    <w:rsid w:val="00221D5B"/>
    <w:rsid w:val="00245BB5"/>
    <w:rsid w:val="00267DF9"/>
    <w:rsid w:val="0028068C"/>
    <w:rsid w:val="002815C9"/>
    <w:rsid w:val="00290BF8"/>
    <w:rsid w:val="002A4182"/>
    <w:rsid w:val="002A4BEE"/>
    <w:rsid w:val="002B5261"/>
    <w:rsid w:val="002F1AFB"/>
    <w:rsid w:val="002F2753"/>
    <w:rsid w:val="003071EA"/>
    <w:rsid w:val="00315E67"/>
    <w:rsid w:val="003162C4"/>
    <w:rsid w:val="0031656D"/>
    <w:rsid w:val="003414B4"/>
    <w:rsid w:val="00350DF4"/>
    <w:rsid w:val="0036059B"/>
    <w:rsid w:val="003730D3"/>
    <w:rsid w:val="00375D8C"/>
    <w:rsid w:val="00380A98"/>
    <w:rsid w:val="003C2BC0"/>
    <w:rsid w:val="003C74D2"/>
    <w:rsid w:val="003F57C0"/>
    <w:rsid w:val="00401F7E"/>
    <w:rsid w:val="00412A24"/>
    <w:rsid w:val="00415A5B"/>
    <w:rsid w:val="004202A7"/>
    <w:rsid w:val="0042042A"/>
    <w:rsid w:val="00423A0F"/>
    <w:rsid w:val="00437B7A"/>
    <w:rsid w:val="00440511"/>
    <w:rsid w:val="00484DE2"/>
    <w:rsid w:val="00485D76"/>
    <w:rsid w:val="004954B0"/>
    <w:rsid w:val="004A5C03"/>
    <w:rsid w:val="004A6F48"/>
    <w:rsid w:val="004C4C64"/>
    <w:rsid w:val="004D6AEE"/>
    <w:rsid w:val="00510CE0"/>
    <w:rsid w:val="00530BE7"/>
    <w:rsid w:val="005347BE"/>
    <w:rsid w:val="0054161A"/>
    <w:rsid w:val="0054198B"/>
    <w:rsid w:val="0054403D"/>
    <w:rsid w:val="00555878"/>
    <w:rsid w:val="00555E60"/>
    <w:rsid w:val="00594A8B"/>
    <w:rsid w:val="005D07B7"/>
    <w:rsid w:val="005D6822"/>
    <w:rsid w:val="005E4C12"/>
    <w:rsid w:val="00601119"/>
    <w:rsid w:val="00604457"/>
    <w:rsid w:val="006410B6"/>
    <w:rsid w:val="00643F81"/>
    <w:rsid w:val="00654178"/>
    <w:rsid w:val="00656E41"/>
    <w:rsid w:val="00657B11"/>
    <w:rsid w:val="0066646A"/>
    <w:rsid w:val="00685F4D"/>
    <w:rsid w:val="00690B06"/>
    <w:rsid w:val="006A16E6"/>
    <w:rsid w:val="006B1A22"/>
    <w:rsid w:val="006B4F9A"/>
    <w:rsid w:val="006B7734"/>
    <w:rsid w:val="006E4A2A"/>
    <w:rsid w:val="006E7C61"/>
    <w:rsid w:val="007038D3"/>
    <w:rsid w:val="007068B7"/>
    <w:rsid w:val="007139AE"/>
    <w:rsid w:val="00714AB7"/>
    <w:rsid w:val="0073558C"/>
    <w:rsid w:val="007405D2"/>
    <w:rsid w:val="00750586"/>
    <w:rsid w:val="00772728"/>
    <w:rsid w:val="007A14C1"/>
    <w:rsid w:val="007A7B0F"/>
    <w:rsid w:val="007B69EF"/>
    <w:rsid w:val="007C65A2"/>
    <w:rsid w:val="007D179C"/>
    <w:rsid w:val="007E002D"/>
    <w:rsid w:val="007F6642"/>
    <w:rsid w:val="008116D6"/>
    <w:rsid w:val="0081772F"/>
    <w:rsid w:val="008204C8"/>
    <w:rsid w:val="008443C3"/>
    <w:rsid w:val="008502F3"/>
    <w:rsid w:val="008561BA"/>
    <w:rsid w:val="00862F65"/>
    <w:rsid w:val="008634CB"/>
    <w:rsid w:val="00873B91"/>
    <w:rsid w:val="00876EC6"/>
    <w:rsid w:val="00880BC4"/>
    <w:rsid w:val="00886040"/>
    <w:rsid w:val="008A2F23"/>
    <w:rsid w:val="008B6C3B"/>
    <w:rsid w:val="008D4B6B"/>
    <w:rsid w:val="008D7345"/>
    <w:rsid w:val="008E5CAA"/>
    <w:rsid w:val="009274FE"/>
    <w:rsid w:val="009416B9"/>
    <w:rsid w:val="00947E47"/>
    <w:rsid w:val="0095400C"/>
    <w:rsid w:val="00965659"/>
    <w:rsid w:val="00995DCA"/>
    <w:rsid w:val="009A51D4"/>
    <w:rsid w:val="009B507E"/>
    <w:rsid w:val="009C0642"/>
    <w:rsid w:val="009E2F6A"/>
    <w:rsid w:val="009E6DDF"/>
    <w:rsid w:val="00A01489"/>
    <w:rsid w:val="00A24AB8"/>
    <w:rsid w:val="00A24F16"/>
    <w:rsid w:val="00A276B3"/>
    <w:rsid w:val="00A327E3"/>
    <w:rsid w:val="00A40446"/>
    <w:rsid w:val="00A6131F"/>
    <w:rsid w:val="00A721CB"/>
    <w:rsid w:val="00A72B47"/>
    <w:rsid w:val="00A821C1"/>
    <w:rsid w:val="00A90F02"/>
    <w:rsid w:val="00AA17AB"/>
    <w:rsid w:val="00AC2FBE"/>
    <w:rsid w:val="00AF41BC"/>
    <w:rsid w:val="00AF4EC4"/>
    <w:rsid w:val="00B05ACA"/>
    <w:rsid w:val="00B27AB3"/>
    <w:rsid w:val="00B31B65"/>
    <w:rsid w:val="00B41397"/>
    <w:rsid w:val="00B600EF"/>
    <w:rsid w:val="00B603CD"/>
    <w:rsid w:val="00B71E0E"/>
    <w:rsid w:val="00B90D6C"/>
    <w:rsid w:val="00B92ADA"/>
    <w:rsid w:val="00B978B3"/>
    <w:rsid w:val="00BD13F9"/>
    <w:rsid w:val="00BD306B"/>
    <w:rsid w:val="00BF5833"/>
    <w:rsid w:val="00C068CF"/>
    <w:rsid w:val="00C3251E"/>
    <w:rsid w:val="00C4506F"/>
    <w:rsid w:val="00C47A5E"/>
    <w:rsid w:val="00C5051F"/>
    <w:rsid w:val="00C50BF3"/>
    <w:rsid w:val="00C72B43"/>
    <w:rsid w:val="00C7364B"/>
    <w:rsid w:val="00C73AB2"/>
    <w:rsid w:val="00C76F26"/>
    <w:rsid w:val="00C9447A"/>
    <w:rsid w:val="00C96E55"/>
    <w:rsid w:val="00CB067D"/>
    <w:rsid w:val="00CB42C8"/>
    <w:rsid w:val="00CB7074"/>
    <w:rsid w:val="00CD316F"/>
    <w:rsid w:val="00CE4E13"/>
    <w:rsid w:val="00CE6BA5"/>
    <w:rsid w:val="00CF4076"/>
    <w:rsid w:val="00CF7C56"/>
    <w:rsid w:val="00D11390"/>
    <w:rsid w:val="00D41701"/>
    <w:rsid w:val="00D87D2B"/>
    <w:rsid w:val="00DA1EB0"/>
    <w:rsid w:val="00DA3F93"/>
    <w:rsid w:val="00DB052E"/>
    <w:rsid w:val="00DD029C"/>
    <w:rsid w:val="00DD3263"/>
    <w:rsid w:val="00DE500C"/>
    <w:rsid w:val="00E01751"/>
    <w:rsid w:val="00E05D94"/>
    <w:rsid w:val="00E160EE"/>
    <w:rsid w:val="00E37447"/>
    <w:rsid w:val="00E408C6"/>
    <w:rsid w:val="00E412F2"/>
    <w:rsid w:val="00E47A68"/>
    <w:rsid w:val="00E728DE"/>
    <w:rsid w:val="00E73E3E"/>
    <w:rsid w:val="00E91A70"/>
    <w:rsid w:val="00EA4B7D"/>
    <w:rsid w:val="00EC7CB2"/>
    <w:rsid w:val="00ED1986"/>
    <w:rsid w:val="00ED7065"/>
    <w:rsid w:val="00EE03A0"/>
    <w:rsid w:val="00EE2922"/>
    <w:rsid w:val="00EE545C"/>
    <w:rsid w:val="00EF4F77"/>
    <w:rsid w:val="00F03E64"/>
    <w:rsid w:val="00F0734D"/>
    <w:rsid w:val="00F12B5A"/>
    <w:rsid w:val="00F1620B"/>
    <w:rsid w:val="00F17A01"/>
    <w:rsid w:val="00F20E59"/>
    <w:rsid w:val="00F32413"/>
    <w:rsid w:val="00F6091C"/>
    <w:rsid w:val="00F61CF1"/>
    <w:rsid w:val="00F62A91"/>
    <w:rsid w:val="00F63BB4"/>
    <w:rsid w:val="00F67F47"/>
    <w:rsid w:val="00F74415"/>
    <w:rsid w:val="00F82049"/>
    <w:rsid w:val="00F91A14"/>
    <w:rsid w:val="00FA5438"/>
    <w:rsid w:val="00FB7A4A"/>
    <w:rsid w:val="00FE6D5C"/>
    <w:rsid w:val="00FE707A"/>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34817" v:ext="edit"/>
    <o:shapelayout v:ext="edit">
      <o:idmap data="1" v:ext="edit"/>
    </o:shapelayout>
  </w:shapeDefaults>
  <w:decimalSymbol w:val=","/>
  <w:listSeparator w:val=";"/>
  <w15:docId w15:val="{1EF3C097-0B54-4D02-8E14-6FAE4A36E12C}"/>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jc w:val="center"/>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57B11"/>
    <w:pPr>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657B11"/>
    <w:pPr>
      <w:tabs>
        <w:tab w:val="center" w:pos="4536"/>
        <w:tab w:val="right" w:pos="9072"/>
      </w:tabs>
    </w:pPr>
  </w:style>
  <w:style w:type="character" w:styleId="PodnojeChar" w:customStyle="true">
    <w:name w:val="Podnožje Char"/>
    <w:basedOn w:val="Zadanifontodlomka"/>
    <w:link w:val="Podnoje"/>
    <w:rsid w:val="00657B11"/>
    <w:rPr>
      <w:rFonts w:ascii="Times New Roman" w:hAnsi="Times New Roman" w:eastAsia="Times New Roman" w:cs="Times New Roman"/>
      <w:sz w:val="24"/>
      <w:szCs w:val="24"/>
      <w:lang w:eastAsia="hr-HR"/>
    </w:rPr>
  </w:style>
  <w:style w:type="character" w:styleId="Brojstranice">
    <w:name w:val="page number"/>
    <w:basedOn w:val="Zadanifontodlomka"/>
    <w:rsid w:val="00657B11"/>
  </w:style>
  <w:style w:type="paragraph" w:styleId="Zaglavlje">
    <w:name w:val="header"/>
    <w:basedOn w:val="Normal"/>
    <w:link w:val="ZaglavljeChar"/>
    <w:uiPriority w:val="99"/>
    <w:rsid w:val="00657B11"/>
    <w:pPr>
      <w:tabs>
        <w:tab w:val="center" w:pos="4536"/>
        <w:tab w:val="right" w:pos="9072"/>
      </w:tabs>
    </w:pPr>
  </w:style>
  <w:style w:type="character" w:styleId="ZaglavljeChar" w:customStyle="true">
    <w:name w:val="Zaglavlje Char"/>
    <w:basedOn w:val="Zadanifontodlomka"/>
    <w:link w:val="Zaglavlje"/>
    <w:uiPriority w:val="99"/>
    <w:rsid w:val="00657B11"/>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57B11"/>
    <w:pPr>
      <w:ind w:left="708"/>
    </w:pPr>
  </w:style>
  <w:style w:type="paragraph" w:styleId="Tekstbalonia">
    <w:name w:val="Balloon Text"/>
    <w:basedOn w:val="Normal"/>
    <w:link w:val="TekstbaloniaChar"/>
    <w:uiPriority w:val="99"/>
    <w:semiHidden/>
    <w:unhideWhenUsed/>
    <w:rsid w:val="003730D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730D3"/>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A821C1"/>
    <w:rPr>
      <w:color w:val="808080"/>
      <w:bdr w:val="none" w:color="auto" w:sz="0" w:space="0"/>
      <w:shd w:val="clear" w:color="auto" w:fill="auto"/>
    </w:rPr>
  </w:style>
  <w:style w:type="character" w:styleId="eSPISCCParagraphDefaultFont" w:customStyle="true">
    <w:name w:val="eSPIS_CC_Paragraph Default Font"/>
    <w:basedOn w:val="Zadanifontodlomka"/>
    <w:rsid w:val="00A821C1"/>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A821C1"/>
    <w:rPr>
      <w:rFonts w:ascii="Arial" w:hAnsi="Arial" w:cs="Arial"/>
      <w:bCs/>
      <w:bdr w:val="none" w:color="auto" w:sz="0" w:space="0"/>
      <w:shd w:val="clear" w:color="auto" w:fill="FFFFCC"/>
      <w:lang w:val="hr-HR"/>
    </w:rPr>
  </w:style>
  <w:style w:type="character" w:styleId="PozadinaSvijetloCrvena" w:customStyle="true">
    <w:name w:val="Pozadina_SvijetloCrvena"/>
    <w:basedOn w:val="eSPISCCParagraphDefaultFont"/>
    <w:rsid w:val="00A821C1"/>
    <w:rPr>
      <w:rFonts w:ascii="Arial" w:hAnsi="Arial" w:cs="Arial"/>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A821C1"/>
    <w:rPr>
      <w:rFonts w:ascii="Arial" w:hAnsi="Arial" w:cs="Arial"/>
      <w:bCs w:val="false"/>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val="none" w:color="auto" w:sz="0" w:space="0"/>
        <w:left w:val="none" w:color="auto" w:sz="0" w:space="0"/>
        <w:bottom w:val="none" w:color="auto" w:sz="0" w:space="0"/>
        <w:right w:val="none" w:color="auto" w:sz="0" w:space="0"/>
      </w:divBdr>
    </w:div>
    <w:div w:id="57368743">
      <w:bodyDiv w:val="true"/>
      <w:marLeft w:val="0"/>
      <w:marRight w:val="0"/>
      <w:marTop w:val="0"/>
      <w:marBottom w:val="0"/>
      <w:divBdr>
        <w:top w:val="none" w:color="auto" w:sz="0" w:space="0"/>
        <w:left w:val="none" w:color="auto" w:sz="0" w:space="0"/>
        <w:bottom w:val="none" w:color="auto" w:sz="0" w:space="0"/>
        <w:right w:val="none" w:color="auto" w:sz="0" w:space="0"/>
      </w:divBdr>
    </w:div>
    <w:div w:id="65029548">
      <w:bodyDiv w:val="true"/>
      <w:marLeft w:val="0"/>
      <w:marRight w:val="0"/>
      <w:marTop w:val="0"/>
      <w:marBottom w:val="0"/>
      <w:divBdr>
        <w:top w:val="none" w:color="auto" w:sz="0" w:space="0"/>
        <w:left w:val="none" w:color="auto" w:sz="0" w:space="0"/>
        <w:bottom w:val="none" w:color="auto" w:sz="0" w:space="0"/>
        <w:right w:val="none" w:color="auto" w:sz="0" w:space="0"/>
      </w:divBdr>
    </w:div>
    <w:div w:id="649095480">
      <w:bodyDiv w:val="true"/>
      <w:marLeft w:val="0"/>
      <w:marRight w:val="0"/>
      <w:marTop w:val="0"/>
      <w:marBottom w:val="0"/>
      <w:divBdr>
        <w:top w:val="none" w:color="auto" w:sz="0" w:space="0"/>
        <w:left w:val="none" w:color="auto" w:sz="0" w:space="0"/>
        <w:bottom w:val="none" w:color="auto" w:sz="0" w:space="0"/>
        <w:right w:val="none" w:color="auto" w:sz="0" w:space="0"/>
      </w:divBdr>
    </w:div>
    <w:div w:id="705062888">
      <w:bodyDiv w:val="true"/>
      <w:marLeft w:val="0"/>
      <w:marRight w:val="0"/>
      <w:marTop w:val="0"/>
      <w:marBottom w:val="0"/>
      <w:divBdr>
        <w:top w:val="none" w:color="auto" w:sz="0" w:space="0"/>
        <w:left w:val="none" w:color="auto" w:sz="0" w:space="0"/>
        <w:bottom w:val="none" w:color="auto" w:sz="0" w:space="0"/>
        <w:right w:val="none" w:color="auto" w:sz="0" w:space="0"/>
      </w:divBdr>
    </w:div>
    <w:div w:id="738484708">
      <w:bodyDiv w:val="true"/>
      <w:marLeft w:val="0"/>
      <w:marRight w:val="0"/>
      <w:marTop w:val="0"/>
      <w:marBottom w:val="0"/>
      <w:divBdr>
        <w:top w:val="none" w:color="auto" w:sz="0" w:space="0"/>
        <w:left w:val="none" w:color="auto" w:sz="0" w:space="0"/>
        <w:bottom w:val="none" w:color="auto" w:sz="0" w:space="0"/>
        <w:right w:val="none" w:color="auto" w:sz="0" w:space="0"/>
      </w:divBdr>
    </w:div>
    <w:div w:id="801386274">
      <w:bodyDiv w:val="true"/>
      <w:marLeft w:val="0"/>
      <w:marRight w:val="0"/>
      <w:marTop w:val="0"/>
      <w:marBottom w:val="0"/>
      <w:divBdr>
        <w:top w:val="none" w:color="auto" w:sz="0" w:space="0"/>
        <w:left w:val="none" w:color="auto" w:sz="0" w:space="0"/>
        <w:bottom w:val="none" w:color="auto" w:sz="0" w:space="0"/>
        <w:right w:val="none" w:color="auto" w:sz="0" w:space="0"/>
      </w:divBdr>
    </w:div>
    <w:div w:id="835270675">
      <w:bodyDiv w:val="true"/>
      <w:marLeft w:val="0"/>
      <w:marRight w:val="0"/>
      <w:marTop w:val="0"/>
      <w:marBottom w:val="0"/>
      <w:divBdr>
        <w:top w:val="none" w:color="auto" w:sz="0" w:space="0"/>
        <w:left w:val="none" w:color="auto" w:sz="0" w:space="0"/>
        <w:bottom w:val="none" w:color="auto" w:sz="0" w:space="0"/>
        <w:right w:val="none" w:color="auto" w:sz="0" w:space="0"/>
      </w:divBdr>
    </w:div>
    <w:div w:id="911503392">
      <w:bodyDiv w:val="true"/>
      <w:marLeft w:val="0"/>
      <w:marRight w:val="0"/>
      <w:marTop w:val="0"/>
      <w:marBottom w:val="0"/>
      <w:divBdr>
        <w:top w:val="none" w:color="auto" w:sz="0" w:space="0"/>
        <w:left w:val="none" w:color="auto" w:sz="0" w:space="0"/>
        <w:bottom w:val="none" w:color="auto" w:sz="0" w:space="0"/>
        <w:right w:val="none" w:color="auto" w:sz="0" w:space="0"/>
      </w:divBdr>
    </w:div>
    <w:div w:id="1825899217">
      <w:bodyDiv w:val="true"/>
      <w:marLeft w:val="0"/>
      <w:marRight w:val="0"/>
      <w:marTop w:val="0"/>
      <w:marBottom w:val="0"/>
      <w:divBdr>
        <w:top w:val="none" w:color="auto" w:sz="0" w:space="0"/>
        <w:left w:val="none" w:color="auto" w:sz="0" w:space="0"/>
        <w:bottom w:val="none" w:color="auto" w:sz="0" w:space="0"/>
        <w:right w:val="none" w:color="auto" w:sz="0" w:space="0"/>
      </w:divBdr>
    </w:div>
    <w:div w:id="1871645820">
      <w:bodyDiv w:val="true"/>
      <w:marLeft w:val="0"/>
      <w:marRight w:val="0"/>
      <w:marTop w:val="0"/>
      <w:marBottom w:val="0"/>
      <w:divBdr>
        <w:top w:val="none" w:color="auto" w:sz="0" w:space="0"/>
        <w:left w:val="none" w:color="auto" w:sz="0" w:space="0"/>
        <w:bottom w:val="none" w:color="auto" w:sz="0" w:space="0"/>
        <w:right w:val="none" w:color="auto" w:sz="0" w:space="0"/>
      </w:divBdr>
    </w:div>
    <w:div w:id="1964800699">
      <w:bodyDiv w:val="true"/>
      <w:marLeft w:val="0"/>
      <w:marRight w:val="0"/>
      <w:marTop w:val="0"/>
      <w:marBottom w:val="0"/>
      <w:divBdr>
        <w:top w:val="none" w:color="auto" w:sz="0" w:space="0"/>
        <w:left w:val="none" w:color="auto" w:sz="0" w:space="0"/>
        <w:bottom w:val="none" w:color="auto" w:sz="0" w:space="0"/>
        <w:right w:val="none" w:color="auto" w:sz="0" w:space="0"/>
      </w:divBdr>
    </w:div>
    <w:div w:id="21224585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26. listopada 2022.</izvorni_sadrzaj>
    <derivirana_varijabla naziv="DomainObject.StvarniPocetakDatum_1">26. listopada 2022.</derivirana_varijabla>
  </DomainObject.StvarniPocetakDatum>
  <DomainObject.StvarniZavrsetakDatum>
    <izvorni_sadrzaj>26. listopada 2022.</izvorni_sadrzaj>
    <derivirana_varijabla naziv="DomainObject.StvarniZavrsetakDatum_1">26. listopada 2022.</derivirana_varijabla>
  </DomainObject.StvarniZavrsetakDatum>
  <DomainObject.PlaniraniZavrsetakDatum>
    <izvorni_sadrzaj>26. listopada 2022.</izvorni_sadrzaj>
    <derivirana_varijabla naziv="DomainObject.PlaniraniZavrsetakDatum_1">26. listopada 2022.</derivirana_varijabla>
  </DomainObject.PlaniraniZavrsetakDatum>
  <DomainObject.PlaniraniPocetakDatum>
    <izvorni_sadrzaj>26. listopada 2022.</izvorni_sadrzaj>
    <derivirana_varijabla naziv="DomainObject.PlaniraniPocetakDatum_1">26. listopada 2022.</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08:55</izvorni_sadrzaj>
    <derivirana_varijabla naziv="DomainObject.StvarniZavrsetakVrijeme_1">08:55</derivirana_varijabla>
  </DomainObject.StvarniZavrsetakVrijeme>
  <DomainObject.PlaniraniZavrsetakVrijeme>
    <izvorni_sadrzaj>08:45</izvorni_sadrzaj>
    <derivirana_varijabla naziv="DomainObject.PlaniraniZavrsetakVrijeme_1">08:45</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listopada 2022.</izvorni_sadrzaj>
    <derivirana_varijabla naziv="DomainObject.Zapisnik.DatumKreiranja_1">26. listopada 2022.</derivirana_varijabla>
  </DomainObject.Zapisnik.DatumKreiranja>
  <DomainObject.Zapisnik.ImovinskaKorist>
    <izvorni_sadrzaj/>
    <derivirana_varijabla naziv="DomainObject.Zapisnik.ImovinskaKorist_1"/>
  </DomainObject.Zapisnik.ImovinskaKorist>
  <DomainObject.Zapisnik.Oznaka>
    <izvorni_sadrzaj>St-604/2021-53</izvorni_sadrzaj>
    <derivirana_varijabla naziv="DomainObject.Zapisnik.Oznaka_1">St-604/2021-53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izvorni_sadrzaj>
    <derivirana_varijabla naziv="DomainObject.Predmet.Broj_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2021.</izvorni_sadrzaj>
    <derivirana_varijabla naziv="DomainObject.Predmet.DatumOsnivanja_1">21.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St-604/2021</izvorni_sadrzaj>
    <derivirana_varijabla naziv="DomainObject.Predmet.OznakaBroj_1">St-604/2021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RURSUS d.o.o.</izvorni_sadrzaj>
    <derivirana_varijabla naziv="DomainObject.Predmet.ProtustrankaFormated_1">  RURSUS d.o.o.</derivirana_varijabla>
  </DomainObject.Predmet.ProtustrankaFormated>
  <DomainObject.Predmet.ProtustrankaFormatedOIB>
    <izvorni_sadrzaj>  RURSUS d.o.o., OIB 81430800847</izvorni_sadrzaj>
    <derivirana_varijabla naziv="DomainObject.Predmet.ProtustrankaFormatedOIB_1">  RURSUS d.o.o., OIB 81430800847</derivirana_varijabla>
  </DomainObject.Predmet.ProtustrankaFormatedOIB>
  <DomainObject.Predmet.ProtustrankaFormatedWithAdress>
    <izvorni_sadrzaj> RURSUS d.o.o., Ulica postrojbi specijalne policije Zadar 12, 23000 Zadar</izvorni_sadrzaj>
    <derivirana_varijabla naziv="DomainObject.Predmet.ProtustrankaFormatedWithAdress_1"> RURSUS d.o.o., Ulica postrojbi specijalne policije Zadar 12, 23000 Zadar</derivirana_varijabla>
  </DomainObject.Predmet.ProtustrankaFormatedWithAdress>
  <DomainObject.Predmet.ProtustrankaFormatedWithAdressOIB>
    <izvorni_sadrzaj> RURSUS d.o.o., OIB 81430800847, Ulica postrojbi specijalne policije Zadar 12, 23000 Zadar</izvorni_sadrzaj>
    <derivirana_varijabla naziv="DomainObject.Predmet.ProtustrankaFormatedWithAdressOIB_1"> RURSUS d.o.o., OIB 81430800847, Ulica postrojbi specijalne policije Zadar 12, 23000 Zadar</derivirana_varijabla>
  </DomainObject.Predmet.ProtustrankaFormatedWithAdressOIB>
  <DomainObject.Predmet.ProtustrankaWithAdress>
    <izvorni_sadrzaj>RURSUS d.o.o. Ulica postrojbi specijalne policije Zadar 12, 23000 Zadar</izvorni_sadrzaj>
    <derivirana_varijabla naziv="DomainObject.Predmet.ProtustrankaWithAdress_1">RURSUS d.o.o. Ulica postrojbi specijalne policije Zadar 12, 23000 Zadar</derivirana_varijabla>
  </DomainObject.Predmet.ProtustrankaWithAdress>
  <DomainObject.Predmet.ProtustrankaWithAdressOIB>
    <izvorni_sadrzaj>RURSUS d.o.o., OIB 81430800847, Ulica postrojbi specijalne policije Zadar 12, 23000 Zadar</izvorni_sadrzaj>
    <derivirana_varijabla naziv="DomainObject.Predmet.ProtustrankaWithAdressOIB_1">RURSUS d.o.o., OIB 81430800847, Ulica postrojbi specijalne policije Zadar 12, 23000 Zadar</derivirana_varijabla>
  </DomainObject.Predmet.ProtustrankaWithAdressOIB>
  <DomainObject.Predmet.ProtustrankaNazivFormated>
    <izvorni_sadrzaj>RURSUS d.o.o.</izvorni_sadrzaj>
    <derivirana_varijabla naziv="DomainObject.Predmet.ProtustrankaNazivFormated_1">RURSUS d.o.o.</derivirana_varijabla>
  </DomainObject.Predmet.ProtustrankaNazivFormated>
  <DomainObject.Predmet.ProtustrankaNazivFormatedOIB>
    <izvorni_sadrzaj>RURSUS d.o.o., OIB 81430800847</izvorni_sadrzaj>
    <derivirana_varijabla naziv="DomainObject.Predmet.ProtustrankaNazivFormatedOIB_1">RURSUS d.o.o., OIB 81430800847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Marijo Gulan</izvorni_sadrzaj>
    <derivirana_varijabla naziv="DomainObject.Predmet.StrankaFormated_1">  Financijska agencija (FINA); Marijo Gulan</derivirana_varijabla>
  </DomainObject.Predmet.StrankaFormated>
  <DomainObject.Predmet.StrankaFormatedOIB>
    <izvorni_sadrzaj>  Financijska agencija (FINA), OIB 85821130368; Marijo Gulan, OIB 58312646716</izvorni_sadrzaj>
    <derivirana_varijabla naziv="DomainObject.Predmet.StrankaFormatedOIB_1">  Financijska agencija (FINA), OIB 85821130368; Marijo Gulan, OIB 58312646716</derivirana_varijabla>
  </DomainObject.Predmet.StrankaFormatedOIB>
  <DomainObject.Predmet.StrankaFormatedWithAdress>
    <izvorni_sadrzaj> Financijska agencija (FINA), Ulica grada Vukovara 70, 10000 Zagreb; Marijo Gulan, Grgura Budislavića 11, 23000 Zadar</izvorni_sadrzaj>
    <derivirana_varijabla naziv="DomainObject.Predmet.StrankaFormatedWithAdress_1"> Financijska agencija (FINA), Ulica grada Vukovara 70, 10000 Zagreb; Marijo Gulan, Grgura Budislavića 11, 23000 Zadar</derivirana_varijabla>
  </DomainObject.Predmet.StrankaFormatedWithAdress>
  <DomainObject.Predmet.StrankaFormatedWithAdressOIB>
    <izvorni_sadrzaj> Financijska agencija (FINA), OIB 85821130368, Ulica grada Vukovara 70, 10000 Zagreb; Marijo Gulan, OIB 58312646716, Grgura Budislavića 11, 23000 Zadar</izvorni_sadrzaj>
    <derivirana_varijabla naziv="DomainObject.Predmet.StrankaFormatedWithAdressOIB_1"> Financijska agencija (FINA), OIB 85821130368, Ulica grada Vukovara 70, 10000 Zagreb; Marijo Gulan, OIB 58312646716, Grgura Budislavića 11, 23000 Zadar</derivirana_varijabla>
  </DomainObject.Predmet.StrankaFormatedWithAdressOIB>
  <DomainObject.Predmet.StrankaWithAdress>
    <izvorni_sadrzaj>Financijska agencija (FINA) Ulica grada Vukovara 70,10000 Zagreb,Marijo Gulan Grgura Budislavića 11,23000 Zadar</izvorni_sadrzaj>
    <derivirana_varijabla naziv="DomainObject.Predmet.StrankaWithAdress_1">Financijska agencija (FINA) Ulica grada Vukovara 70,10000 Zagreb,Marijo Gulan Grgura Budislavića 11,23000 Zadar</derivirana_varijabla>
  </DomainObject.Predmet.StrankaWithAdress>
  <DomainObject.Predmet.StrankaWithAdressOIB>
    <izvorni_sadrzaj>Financijska agencija (FINA), OIB 85821130368, Ulica grada Vukovara 70,10000 Zagreb,Marijo Gulan, OIB 58312646716, Grgura Budislavića 11,23000 Zadar</izvorni_sadrzaj>
    <derivirana_varijabla naziv="DomainObject.Predmet.StrankaWithAdressOIB_1">Financijska agencija (FINA), OIB 85821130368, Ulica grada Vukovara 70,10000 Zagreb,Marijo Gulan, OIB 58312646716, Grgura Budislavića 11,23000 Zadar</derivirana_varijabla>
  </DomainObject.Predmet.StrankaWithAdressOIB>
  <DomainObject.Predmet.StrankaNazivFormated>
    <izvorni_sadrzaj>Financijska agencija (FINA),Marijo Gulan</izvorni_sadrzaj>
    <derivirana_varijabla naziv="DomainObject.Predmet.StrankaNazivFormated_1">Financijska agencija (FINA),Marijo Gulan</derivirana_varijabla>
  </DomainObject.Predmet.StrankaNazivFormated>
  <DomainObject.Predmet.StrankaNazivFormatedOIB>
    <izvorni_sadrzaj>Financijska agencija (FINA), OIB 85821130368,Marijo Gulan, OIB 58312646716</izvorni_sadrzaj>
    <derivirana_varijabla naziv="DomainObject.Predmet.StrankaNazivFormatedOIB_1">Financijska agencija (FINA), OIB 85821130368,Marijo Gulan, OIB 58312646716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(FINA)</item>
      <item>Marijo Gulan</item>
    </izvorni_sadrzaj>
    <derivirana_varijabla naziv="DomainObject.Predmet.StrankaListFormated_1">
      <item>Financijska agencija (FINA)</item>
      <item>Marijo Gulan</item>
    </derivirana_varijabla>
  </DomainObject.Predmet.StrankaListFormated>
  <DomainObject.Predmet.StrankaListFormatedOIB>
    <izvorni_sadrzaj>
      <item>Financijska agencija (FINA), OIB 85821130368</item>
      <item>Marijo Gulan, OIB 58312646716</item>
    </izvorni_sadrzaj>
    <derivirana_varijabla naziv="DomainObject.Predmet.StrankaListFormatedOIB_1">
      <item>Financijska agencija (FINA), OIB 85821130368</item>
      <item>Marijo Gulan, OIB 58312646716</item>
    </derivirana_varijabla>
  </DomainObject.Predmet.StrankaListFormatedOIB>
  <DomainObject.Predmet.StrankaListFormatedWithAdress>
    <izvorni_sadrzaj>
      <item>Financijska agencija (FINA), Ulica grada Vukovara 70, 10000 Zagreb</item>
      <item>Marijo Gulan, Grgura Budislavića 11, 23000 Zadar</item>
    </izvorni_sadrzaj>
    <derivirana_varijabla naziv="DomainObject.Predmet.StrankaListFormatedWithAdress_1">
      <item>Financijska agencija (FINA), Ulica grada Vukovara 70, 10000 Zagreb</item>
      <item>Marijo Gulan, Grgura Budislavića 11, 23000 Zadar</item>
    </derivirana_varijabla>
  </DomainObject.Predmet.StrankaListFormatedWithAdress>
  <DomainObject.Predmet.StrankaListFormatedWithAdressOIB>
    <izvorni_sadrzaj>
      <item>Financijska agencija (FINA), OIB 85821130368, Ulica grada Vukovara 70, 10000 Zagreb</item>
      <item>Marijo Gulan, OIB 58312646716, Grgura Budislavića 11, 23000 Zadar</item>
    </izvorni_sadrzaj>
    <derivirana_varijabla naziv="DomainObject.Predmet.StrankaListFormatedWithAdressOIB_1">
      <item>Financijska agencija (FINA), OIB 85821130368, Ulica grada Vukovara 70, 10000 Zagreb</item>
      <item>Marijo Gulan, OIB 58312646716, Grgura Budislavića 11, 23000 Zadar</item>
    </derivirana_varijabla>
  </DomainObject.Predmet.StrankaListFormatedWithAdressOIB>
  <DomainObject.Predmet.StrankaListNazivFormated>
    <izvorni_sadrzaj>
      <item>Financijska agencija (FINA)</item>
      <item>Marijo Gulan</item>
    </izvorni_sadrzaj>
    <derivirana_varijabla naziv="DomainObject.Predmet.StrankaListNazivFormated_1">
      <item>Financijska agencija (FINA)</item>
      <item>Marijo Gulan</item>
    </derivirana_varijabla>
  </DomainObject.Predmet.StrankaListNazivFormated>
  <DomainObject.Predmet.StrankaListNazivFormatedOIB>
    <izvorni_sadrzaj>
      <item>Financijska agencija (FINA), OIB 85821130368</item>
      <item>Marijo Gulan, OIB 58312646716</item>
    </izvorni_sadrzaj>
    <derivirana_varijabla naziv="DomainObject.Predmet.StrankaListNazivFormatedOIB_1">
      <item>Financijska agencija (FINA), OIB 85821130368</item>
      <item>Marijo Gulan, OIB 58312646716</item>
    </derivirana_varijabla>
  </DomainObject.Predmet.StrankaListNazivFormatedOIB>
  <DomainObject.Predmet.ProtuStrankaListFormated>
    <izvorni_sadrzaj>
      <item>RURSUS d.o.o.</item>
    </izvorni_sadrzaj>
    <derivirana_varijabla naziv="DomainObject.Predmet.ProtuStrankaListFormated_1">
      <item>RURSUS d.o.o.</item>
    </derivirana_varijabla>
  </DomainObject.Predmet.ProtuStrankaListFormated>
  <DomainObject.Predmet.ProtuStrankaListFormatedOIB>
    <izvorni_sadrzaj>
      <item>RURSUS d.o.o., OIB 81430800847</item>
    </izvorni_sadrzaj>
    <derivirana_varijabla naziv="DomainObject.Predmet.ProtuStrankaListFormatedOIB_1">
      <item>RURSUS d.o.o., OIB 81430800847</item>
    </derivirana_varijabla>
  </DomainObject.Predmet.ProtuStrankaListFormatedOIB>
  <DomainObject.Predmet.ProtuStrankaListFormatedWithAdress>
    <izvorni_sadrzaj>
      <item>RURSUS d.o.o., Ulica postrojbi specijalne policije Zadar 12, 23000 Zadar</item>
    </izvorni_sadrzaj>
    <derivirana_varijabla naziv="DomainObject.Predmet.ProtuStrankaListFormatedWithAdress_1">
      <item>RURSUS d.o.o., Ulica postrojbi specijalne policije Zadar 12, 23000 Zadar</item>
    </derivirana_varijabla>
  </DomainObject.Predmet.ProtuStrankaListFormatedWithAdress>
  <DomainObject.Predmet.ProtuStrankaListFormatedWithAdressOIB>
    <izvorni_sadrzaj>
      <item>RURSUS d.o.o., OIB 81430800847, Ulica postrojbi specijalne policije Zadar 12, 23000 Zadar</item>
    </izvorni_sadrzaj>
    <derivirana_varijabla naziv="DomainObject.Predmet.ProtuStrankaListFormatedWithAdressOIB_1">
      <item>RURSUS d.o.o., OIB 81430800847, Ulica postrojbi specijalne policije Zadar 12, 23000 Zadar</item>
    </derivirana_varijabla>
  </DomainObject.Predmet.ProtuStrankaListFormatedWithAdressOIB>
  <DomainObject.Predmet.ProtuStrankaListNazivFormated>
    <izvorni_sadrzaj>
      <item>RURSUS d.o.o.</item>
    </izvorni_sadrzaj>
    <derivirana_varijabla naziv="DomainObject.Predmet.ProtuStrankaListNazivFormated_1">
      <item>RURSUS d.o.o.</item>
    </derivirana_varijabla>
  </DomainObject.Predmet.ProtuStrankaListNazivFormated>
  <DomainObject.Predmet.ProtuStrankaListNazivFormatedOIB>
    <izvorni_sadrzaj>
      <item>RURSUS d.o.o., OIB 81430800847</item>
    </izvorni_sadrzaj>
    <derivirana_varijabla naziv="DomainObject.Predmet.ProtuStrankaListNazivFormatedOIB_1">
      <item>RURSUS d.o.o., OIB 81430800847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listopada 2022.</izvorni_sadrzaj>
    <derivirana_varijabla naziv="DomainObject.Datum_1">26. listopada 2022.</derivirana_varijabla>
  </DomainObject.Datum>
  <DomainObject.PoslovniBrojDokumenta>
    <izvorni_sadrzaj>St-604/2021-53</izvorni_sadrzaj>
    <derivirana_varijabla naziv="DomainObject.PoslovniBrojDokumenta_1">St-604/2021-53</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RURSUS d.o.o.</izvorni_sadrzaj>
    <derivirana_varijabla naziv="DomainObject.Predmet.ProtustrankaIDrugi_1">RURSUS d.o.o.</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RURSUS d.o.o., OIB 81430800847, Ulica postrojbi specijalne policije Zadar 12, 23000 Zadar</izvorni_sadrzaj>
    <derivirana_varijabla naziv="DomainObject.Predmet.ProtustrankaIDrugiAdressOIB_1">RURSUS d.o.o., OIB 81430800847, Ulica postrojbi specijalne policije Zadar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RURSUS d.o.o.</item>
      <item>Marijo Gulan</item>
      <item>Financijska agencija (FINA)</item>
    </izvorni_sadrzaj>
    <derivirana_varijabla naziv="DomainObject.Predmet.SudioniciListNaziv_1">
      <item>RURSUS d.o.o.</item>
      <item>Marijo Gulan</item>
      <item>Financijska agencija (FINA)</item>
    </derivirana_varijabla>
  </DomainObject.Predmet.SudioniciListNaziv>
  <DomainObject.Predmet.SudioniciListAdressOIB>
    <izvorni_sadrzaj>
      <item>RURSUS d.o.o., OIB 81430800847, Ulica postrojbi specijalne policije Zadar 12,23000 Zadar</item>
      <item>Marijo Gulan, OIB 58312646716, Grgura Budislavića 11,23000 Zadar</item>
      <item>Financijska agencija (FINA), OIB 85821130368, Ulica grada Vukovara 70,10000 Zagreb</item>
    </izvorni_sadrzaj>
    <derivirana_varijabla naziv="DomainObject.Predmet.SudioniciListAdressOIB_1">
      <item>RURSUS d.o.o., OIB 81430800847, Ulica postrojbi specijalne policije Zadar 12,23000 Zadar</item>
      <item>Marijo Gulan, OIB 58312646716, Grgura Budislavića 11,23000 Zadar</item>
      <item>Financijska agencija (FINA),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81430800847</item>
      <item>, OIB 58312646716</item>
      <item>, OIB 85821130368</item>
    </izvorni_sadrzaj>
    <derivirana_varijabla naziv="DomainObject.Predmet.SudioniciListNazivOIB_1">
      <item>, OIB 81430800847</item>
      <item>, OIB 58312646716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srpnja 2021.</izvorni_sadrzaj>
    <derivirana_varijabla naziv="DomainObject.Predmet.DatumPocetkaProcesa_1">1. srpnja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AD9835-DE98-4A7E-9CA9-44E50B7D17FD}">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871</properties:Words>
  <properties:Characters>4951</properties:Characters>
  <properties:Lines>175</properties:Lines>
  <properties:Paragraphs>69</properties:Paragraphs>
  <properties:TotalTime>41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5791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2022-10-20T12:55:00Z</dcterms:created>
  <dc:creator>wsadmin</dc:creator>
  <cp:lastModifiedBy>Ante Rubelj</cp:lastModifiedBy>
  <cp:lastPrinted>2022-02-16T07:47:00Z</cp:lastPrinted>
  <dcterms:modified xmlns:xsi="http://www.w3.org/2001/XMLSchema-instance" xsi:type="dcterms:W3CDTF">2022-10-26T12:07:00Z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St-604/2021-53 / Zapisnik - Izvještajno ročište (1St-604-21 -  - IZVJEŠTAJNO ROČIŠTE - 26.10.22.docx)</vt:lpwstr>
  </prop:property>
  <prop:property fmtid="{D5CDD505-2E9C-101B-9397-08002B2CF9AE}" pid="4" name="CC_coloring">
    <vt:bool>false</vt:bool>
  </prop:property>
  <prop:property fmtid="{D5CDD505-2E9C-101B-9397-08002B2CF9AE}" pid="5" name="BrojStranica">
    <vt:i4>3</vt:i4>
  </prop:property>
</prop:Properties>
</file>